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FD695">
      <w:pPr>
        <w:jc w:val="both"/>
        <w:rPr>
          <w:rFonts w:hint="default" w:eastAsiaTheme="minorEastAsia"/>
          <w:lang w:val="en-US" w:eastAsia="zh-CN"/>
        </w:rPr>
      </w:pPr>
      <w:r>
        <w:rPr>
          <w:rFonts w:hint="eastAsia"/>
          <w:lang w:eastAsia="zh-CN"/>
        </w:rPr>
        <w:t>附件</w:t>
      </w:r>
      <w:r>
        <w:rPr>
          <w:rFonts w:hint="eastAsia"/>
          <w:lang w:val="en-US" w:eastAsia="zh-CN"/>
        </w:rPr>
        <w:t>1</w:t>
      </w:r>
    </w:p>
    <w:p w14:paraId="481B91E7">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2024年重庆教育发展报告</w:t>
      </w:r>
      <w:r>
        <w:rPr>
          <w:rFonts w:hint="eastAsia" w:ascii="方正公文小标宋" w:hAnsi="方正公文小标宋" w:eastAsia="方正公文小标宋" w:cs="方正公文小标宋"/>
          <w:sz w:val="44"/>
          <w:szCs w:val="44"/>
          <w:lang w:eastAsia="zh-CN"/>
        </w:rPr>
        <w:t>（典型案例）</w:t>
      </w:r>
      <w:bookmarkStart w:id="0" w:name="_GoBack"/>
      <w:bookmarkEnd w:id="0"/>
      <w:r>
        <w:rPr>
          <w:rFonts w:hint="eastAsia" w:ascii="方正公文小标宋" w:hAnsi="方正公文小标宋" w:eastAsia="方正公文小标宋" w:cs="方正公文小标宋"/>
          <w:sz w:val="44"/>
          <w:szCs w:val="44"/>
          <w:lang w:eastAsia="zh-CN"/>
        </w:rPr>
        <w:t>拟推荐公示</w:t>
      </w:r>
      <w:r>
        <w:rPr>
          <w:rFonts w:hint="eastAsia" w:ascii="方正公文小标宋" w:hAnsi="方正公文小标宋" w:eastAsia="方正公文小标宋" w:cs="方正公文小标宋"/>
          <w:sz w:val="44"/>
          <w:szCs w:val="44"/>
        </w:rPr>
        <w:t>表</w:t>
      </w:r>
    </w:p>
    <w:tbl>
      <w:tblPr>
        <w:tblStyle w:val="2"/>
        <w:tblpPr w:leftFromText="180" w:rightFromText="180" w:vertAnchor="text" w:horzAnchor="page" w:tblpX="1402" w:tblpY="379"/>
        <w:tblOverlap w:val="neve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5"/>
        <w:gridCol w:w="6685"/>
        <w:gridCol w:w="2165"/>
        <w:gridCol w:w="2303"/>
      </w:tblGrid>
      <w:tr w14:paraId="0250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blHeader/>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DD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稿件类型（盲评编号）</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32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题目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B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平均分</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C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推荐情况</w:t>
            </w:r>
          </w:p>
        </w:tc>
      </w:tr>
      <w:tr w14:paraId="0B5E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A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典型案例01</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BE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“主体领航 四维联动 服务三区”市级演艺现代产业学院协同育人模式创新与实践</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E9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90</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1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拟推荐</w:t>
            </w:r>
          </w:p>
        </w:tc>
      </w:tr>
      <w:tr w14:paraId="72DD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D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FF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典型案例02</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1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FF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双创引领</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全人赋能：</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遇见你</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成长派</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高校基层党建品牌驱动</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一体两翼三平台四心</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育人模式创新实践</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4F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FF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89</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4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FF0000"/>
                <w:kern w:val="0"/>
                <w:sz w:val="24"/>
                <w:szCs w:val="24"/>
                <w:u w:val="none"/>
                <w:lang w:val="en-US" w:eastAsia="zh-CN" w:bidi="ar"/>
              </w:rPr>
            </w:pPr>
          </w:p>
        </w:tc>
      </w:tr>
      <w:tr w14:paraId="4EE6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A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FF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典型案例07</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E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FF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“用艺术为乡村上色，点亮乡村文化 符号”职业教育服务乡村振兴经验案例</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BD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FF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87</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8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FF0000"/>
                <w:kern w:val="0"/>
                <w:sz w:val="24"/>
                <w:szCs w:val="24"/>
                <w:u w:val="none"/>
                <w:lang w:val="en-US" w:eastAsia="zh-CN" w:bidi="ar"/>
              </w:rPr>
            </w:pPr>
          </w:p>
        </w:tc>
      </w:tr>
      <w:tr w14:paraId="6D4E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BF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典型案例04</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DB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思政铸魂艺教融合，“三维聚力”打造艺术人才培育新范式</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6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86.7</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1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6AD7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D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典型案例06</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C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政行企校</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四方联动</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三品</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转化的非遗传承人群培养实践路径</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74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86.7</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1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7BE1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D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典型案例09</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D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打造艺术设计类“知技艺”融合教师团队</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7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86.7</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9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4938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B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典型案例11</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2C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赓续巴渝文脉——艺术类高职院校“非遗传承</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产教融合”助力非遗文化创新实践</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B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86</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A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341D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2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典型案例10</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7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三联·三融·四平台—非遗研培计划融入高职设计类专业人才培养模式</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B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84.7</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4CCE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5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典型案例03</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0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一核引领，双轮驱动，三层互联，四方协同——探索产教融合发展新路</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5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84</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2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3FFB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F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典型案例05</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E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“设计三融”探索立德树人新路径 有形有感有效提升铸魂育人思想引领力</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4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80.3</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F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0461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D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典型案例08</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7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“艺润新村服务社会，产教融合促进发展”以重庆文化艺术职业学院为例</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8B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80</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B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bl>
    <w:p w14:paraId="72FB060B">
      <w:pPr>
        <w:rPr>
          <w:rFonts w:hint="eastAsia"/>
          <w:lang w:eastAsia="zh-CN"/>
        </w:rPr>
      </w:pPr>
    </w:p>
    <w:p w14:paraId="2D352358">
      <w:pPr>
        <w:rPr>
          <w:rFonts w:hint="eastAsia"/>
          <w:lang w:eastAsia="zh-CN"/>
        </w:rPr>
      </w:pPr>
      <w:r>
        <w:rPr>
          <w:rFonts w:hint="eastAsia"/>
          <w:lang w:eastAsia="zh-CN"/>
        </w:rPr>
        <w:br w:type="page"/>
      </w:r>
    </w:p>
    <w:p w14:paraId="4BC51AE2">
      <w:pPr>
        <w:jc w:val="both"/>
        <w:rPr>
          <w:rFonts w:hint="default" w:eastAsiaTheme="minorEastAsia"/>
          <w:lang w:val="en-US" w:eastAsia="zh-CN"/>
        </w:rPr>
      </w:pPr>
      <w:r>
        <w:rPr>
          <w:rFonts w:hint="eastAsia"/>
          <w:lang w:eastAsia="zh-CN"/>
        </w:rPr>
        <w:t>附件</w:t>
      </w:r>
      <w:r>
        <w:rPr>
          <w:rFonts w:hint="eastAsia"/>
          <w:lang w:val="en-US" w:eastAsia="zh-CN"/>
        </w:rPr>
        <w:t>2</w:t>
      </w:r>
    </w:p>
    <w:p w14:paraId="00958A64">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2024年重庆教育发展报告</w:t>
      </w:r>
      <w:r>
        <w:rPr>
          <w:rFonts w:hint="eastAsia" w:ascii="方正公文小标宋" w:hAnsi="方正公文小标宋" w:eastAsia="方正公文小标宋" w:cs="方正公文小标宋"/>
          <w:sz w:val="44"/>
          <w:szCs w:val="44"/>
          <w:lang w:eastAsia="zh-CN"/>
        </w:rPr>
        <w:t>（</w:t>
      </w:r>
      <w:r>
        <w:rPr>
          <w:rFonts w:hint="eastAsia" w:ascii="方正公文小标宋" w:hAnsi="方正公文小标宋" w:eastAsia="方正公文小标宋" w:cs="方正公文小标宋"/>
          <w:sz w:val="44"/>
          <w:szCs w:val="44"/>
        </w:rPr>
        <w:t>咨政报告</w:t>
      </w:r>
      <w:r>
        <w:rPr>
          <w:rFonts w:hint="eastAsia" w:ascii="方正公文小标宋" w:hAnsi="方正公文小标宋" w:eastAsia="方正公文小标宋" w:cs="方正公文小标宋"/>
          <w:sz w:val="44"/>
          <w:szCs w:val="44"/>
          <w:lang w:eastAsia="zh-CN"/>
        </w:rPr>
        <w:t>）拟推荐公示</w:t>
      </w:r>
      <w:r>
        <w:rPr>
          <w:rFonts w:hint="eastAsia" w:ascii="方正公文小标宋" w:hAnsi="方正公文小标宋" w:eastAsia="方正公文小标宋" w:cs="方正公文小标宋"/>
          <w:sz w:val="44"/>
          <w:szCs w:val="44"/>
        </w:rPr>
        <w:t>表</w:t>
      </w:r>
    </w:p>
    <w:tbl>
      <w:tblPr>
        <w:tblStyle w:val="2"/>
        <w:tblpPr w:leftFromText="180" w:rightFromText="180" w:vertAnchor="text" w:horzAnchor="page" w:tblpX="1402" w:tblpY="379"/>
        <w:tblOverlap w:val="neve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5"/>
        <w:gridCol w:w="6685"/>
        <w:gridCol w:w="2165"/>
        <w:gridCol w:w="2303"/>
      </w:tblGrid>
      <w:tr w14:paraId="2F3D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blHeader/>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16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稿件类型（盲评编号）</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0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题目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8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平均分</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46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推荐情况</w:t>
            </w:r>
          </w:p>
        </w:tc>
      </w:tr>
      <w:tr w14:paraId="7C6E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7AC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8"/>
                <w:szCs w:val="28"/>
                <w:u w:val="none"/>
                <w:lang w:val="en-US" w:eastAsia="zh-CN" w:bidi="ar"/>
              </w:rPr>
              <w:t>咨政报告07</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F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乡村振兴视域下乡村学前教育提质路径创新—基于重庆“幼小协同</w:t>
            </w:r>
            <w:r>
              <w:rPr>
                <w:rStyle w:val="4"/>
                <w:rFonts w:eastAsia="方正仿宋_GBK"/>
                <w:color w:val="auto"/>
                <w:sz w:val="24"/>
                <w:szCs w:val="24"/>
                <w:lang w:val="en-US" w:eastAsia="zh-CN" w:bidi="ar"/>
              </w:rPr>
              <w:t>+</w:t>
            </w:r>
            <w:r>
              <w:rPr>
                <w:rStyle w:val="5"/>
                <w:color w:val="auto"/>
                <w:sz w:val="24"/>
                <w:szCs w:val="24"/>
                <w:lang w:val="en-US" w:eastAsia="zh-CN" w:bidi="ar"/>
              </w:rPr>
              <w:t>乡土资源”破解空心化与小学化难题的政策建议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7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87</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9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FF0000"/>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拟推荐</w:t>
            </w:r>
          </w:p>
        </w:tc>
      </w:tr>
      <w:tr w14:paraId="3808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66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8"/>
                <w:szCs w:val="28"/>
                <w:u w:val="none"/>
                <w:lang w:val="en-US" w:eastAsia="zh-CN" w:bidi="ar"/>
              </w:rPr>
              <w:t>咨政报告10</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13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关于推进重庆市高等职业院校产教融合发展质量评估的建议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8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86</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4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FF0000"/>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拟推荐</w:t>
            </w:r>
          </w:p>
        </w:tc>
      </w:tr>
      <w:tr w14:paraId="51D7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3C2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8"/>
                <w:szCs w:val="28"/>
                <w:u w:val="none"/>
                <w:lang w:val="en-US" w:eastAsia="zh-CN" w:bidi="ar"/>
              </w:rPr>
              <w:t>咨政报告09</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4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高质量发展视域下高职院校教学督导存在问题及提升策略</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F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85.7</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D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FF0000"/>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拟推荐</w:t>
            </w:r>
          </w:p>
        </w:tc>
      </w:tr>
      <w:tr w14:paraId="3DD8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42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8"/>
                <w:szCs w:val="28"/>
                <w:u w:val="none"/>
                <w:lang w:val="en-US" w:eastAsia="zh-CN" w:bidi="ar"/>
              </w:rPr>
              <w:t>咨政报告03</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4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“随产而动，渝职先行”构建职业院校专业动态调整机制</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0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85</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F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6B4E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41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8"/>
                <w:szCs w:val="28"/>
                <w:u w:val="none"/>
                <w:lang w:val="en-US" w:eastAsia="zh-CN" w:bidi="ar"/>
              </w:rPr>
              <w:t>咨政报告01</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3F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重庆职业教育助力乡村振兴存在的问题与对策建议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2F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84.3</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EF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6E76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78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8"/>
                <w:szCs w:val="28"/>
                <w:u w:val="none"/>
                <w:lang w:val="en-US" w:eastAsia="zh-CN" w:bidi="ar"/>
              </w:rPr>
              <w:t>咨政报告12</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81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“设计之都”视域下艺术学科产教四链融合机制研究</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8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84</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C1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071A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top"/>
          </w:tcPr>
          <w:p w14:paraId="6F0919F0">
            <w:pPr>
              <w:keepNext w:val="0"/>
              <w:keepLines w:val="0"/>
              <w:widowControl/>
              <w:suppressLineNumbers w:val="0"/>
              <w:jc w:val="center"/>
              <w:textAlignment w:val="top"/>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8"/>
                <w:szCs w:val="28"/>
                <w:u w:val="none"/>
                <w:lang w:val="en-US" w:eastAsia="zh-CN" w:bidi="ar"/>
              </w:rPr>
              <w:t>咨政报告14</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top"/>
          </w:tcPr>
          <w:p w14:paraId="20969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破解</w:t>
            </w:r>
            <w:r>
              <w:rPr>
                <w:rStyle w:val="6"/>
                <w:rFonts w:hint="eastAsia" w:eastAsia="方正仿宋_GBK"/>
                <w:sz w:val="24"/>
                <w:szCs w:val="24"/>
                <w:lang w:val="en-US" w:eastAsia="zh-CN" w:bidi="ar"/>
              </w:rPr>
              <w:t>“</w:t>
            </w:r>
            <w:r>
              <w:rPr>
                <w:rStyle w:val="7"/>
                <w:sz w:val="24"/>
                <w:szCs w:val="24"/>
                <w:lang w:val="en-US" w:eastAsia="zh-CN" w:bidi="ar"/>
              </w:rPr>
              <w:t>三低循环</w:t>
            </w:r>
            <w:r>
              <w:rPr>
                <w:rStyle w:val="6"/>
                <w:rFonts w:hint="eastAsia" w:eastAsia="方正仿宋_GBK"/>
                <w:sz w:val="24"/>
                <w:szCs w:val="24"/>
                <w:lang w:val="en-US" w:eastAsia="zh-CN" w:bidi="ar"/>
              </w:rPr>
              <w:t>”</w:t>
            </w:r>
            <w:r>
              <w:rPr>
                <w:rStyle w:val="7"/>
                <w:sz w:val="24"/>
                <w:szCs w:val="24"/>
                <w:lang w:val="en-US" w:eastAsia="zh-CN" w:bidi="ar"/>
              </w:rPr>
              <w:t>与</w:t>
            </w:r>
            <w:r>
              <w:rPr>
                <w:rStyle w:val="6"/>
                <w:rFonts w:hint="eastAsia" w:eastAsia="方正仿宋_GBK"/>
                <w:sz w:val="24"/>
                <w:szCs w:val="24"/>
                <w:lang w:val="en-US" w:eastAsia="zh-CN" w:bidi="ar"/>
              </w:rPr>
              <w:t>“</w:t>
            </w:r>
            <w:r>
              <w:rPr>
                <w:rStyle w:val="7"/>
                <w:sz w:val="24"/>
                <w:szCs w:val="24"/>
                <w:lang w:val="en-US" w:eastAsia="zh-CN" w:bidi="ar"/>
              </w:rPr>
              <w:t>双向脱嵌</w:t>
            </w:r>
            <w:r>
              <w:rPr>
                <w:rStyle w:val="6"/>
                <w:rFonts w:hint="eastAsia" w:eastAsia="方正仿宋_GBK"/>
                <w:sz w:val="24"/>
                <w:szCs w:val="24"/>
                <w:lang w:val="en-US" w:eastAsia="zh-CN" w:bidi="ar"/>
              </w:rPr>
              <w:t>”</w:t>
            </w:r>
            <w:r>
              <w:rPr>
                <w:rStyle w:val="7"/>
                <w:sz w:val="24"/>
                <w:szCs w:val="24"/>
                <w:lang w:val="en-US" w:eastAsia="zh-CN" w:bidi="ar"/>
              </w:rPr>
              <w:t>：重庆高职教育科教融汇效能提升的路径研究</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2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84</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D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10C0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2D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8"/>
                <w:szCs w:val="28"/>
                <w:u w:val="none"/>
                <w:lang w:val="en-US" w:eastAsia="zh-CN" w:bidi="ar"/>
              </w:rPr>
              <w:t>咨政报告06</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9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少子化背景下推进我市高职学前教育专业适应性改革的对策建议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F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83.6</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02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3071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06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8"/>
                <w:szCs w:val="28"/>
                <w:u w:val="none"/>
                <w:lang w:val="en-US" w:eastAsia="zh-CN" w:bidi="ar"/>
              </w:rPr>
              <w:t>咨政报告08</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A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现代学徒制学籍管理数字化改革实践</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D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83.3</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2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27A6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AC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8"/>
                <w:szCs w:val="28"/>
                <w:u w:val="none"/>
                <w:lang w:val="en-US" w:eastAsia="zh-CN" w:bidi="ar"/>
              </w:rPr>
              <w:t>咨政报告16</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top"/>
          </w:tcPr>
          <w:p w14:paraId="695EC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教育家精神赋能职业教育教师队伍建设研究</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4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83.3</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CC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5DC1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19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8"/>
                <w:szCs w:val="28"/>
                <w:u w:val="none"/>
                <w:lang w:val="en-US" w:eastAsia="zh-CN" w:bidi="ar"/>
              </w:rPr>
              <w:t>咨政报告05</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5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“扩圈破壁”：“关停潮”形势下普惠性民办幼儿园的挑战与应对</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B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83</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4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66DC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62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8"/>
                <w:szCs w:val="28"/>
                <w:u w:val="none"/>
                <w:lang w:val="en-US" w:eastAsia="zh-CN" w:bidi="ar"/>
              </w:rPr>
              <w:t>咨政报告13</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8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关于重庆高职职业教育搭乘</w:t>
            </w:r>
            <w:r>
              <w:rPr>
                <w:rStyle w:val="6"/>
                <w:rFonts w:eastAsia="方正仿宋_GBK"/>
                <w:sz w:val="24"/>
                <w:szCs w:val="24"/>
                <w:lang w:val="en-US" w:eastAsia="zh-CN" w:bidi="ar"/>
              </w:rPr>
              <w:t>AI</w:t>
            </w:r>
            <w:r>
              <w:rPr>
                <w:rStyle w:val="7"/>
                <w:sz w:val="24"/>
                <w:szCs w:val="24"/>
                <w:lang w:val="en-US" w:eastAsia="zh-CN" w:bidi="ar"/>
              </w:rPr>
              <w:t>工具快车的风险防控与突破路径建议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95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82.3</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B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43BC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6D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8"/>
                <w:szCs w:val="28"/>
                <w:u w:val="none"/>
                <w:lang w:val="en-US" w:eastAsia="zh-CN" w:bidi="ar"/>
              </w:rPr>
              <w:t>咨政报告15</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D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关于构建“艺术疗愈</w:t>
            </w:r>
            <w:r>
              <w:rPr>
                <w:rStyle w:val="6"/>
                <w:rFonts w:eastAsia="方正仿宋_GBK"/>
                <w:sz w:val="24"/>
                <w:szCs w:val="24"/>
                <w:lang w:val="en-US" w:eastAsia="zh-CN" w:bidi="ar"/>
              </w:rPr>
              <w:t>+</w:t>
            </w:r>
            <w:r>
              <w:rPr>
                <w:rStyle w:val="7"/>
                <w:sz w:val="24"/>
                <w:szCs w:val="24"/>
                <w:lang w:val="en-US" w:eastAsia="zh-CN" w:bidi="ar"/>
              </w:rPr>
              <w:t>校地联动”心理危机干预模式的建议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6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82</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3C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38F9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86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8"/>
                <w:szCs w:val="28"/>
                <w:u w:val="none"/>
                <w:lang w:val="en-US" w:eastAsia="zh-CN" w:bidi="ar"/>
              </w:rPr>
              <w:t>咨政报告02</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59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教育强国背景下推进高职院校劳动美育体系构建的建议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09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81.3</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7E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75E2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26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8"/>
                <w:szCs w:val="28"/>
                <w:u w:val="none"/>
                <w:lang w:val="en-US" w:eastAsia="zh-CN" w:bidi="ar"/>
              </w:rPr>
              <w:t>咨政报告04</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52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以加快义务教育优质均衡和城乡一体化统筹推进教育与乡村振兴协同发展</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E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80</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1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19639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48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8"/>
                <w:szCs w:val="28"/>
                <w:u w:val="none"/>
                <w:lang w:val="en-US" w:eastAsia="zh-CN" w:bidi="ar"/>
              </w:rPr>
              <w:t>咨政报告11</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33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推进构建“数字孪生</w:t>
            </w:r>
            <w:r>
              <w:rPr>
                <w:rStyle w:val="6"/>
                <w:rFonts w:eastAsia="方正仿宋_GBK"/>
                <w:sz w:val="24"/>
                <w:szCs w:val="24"/>
                <w:lang w:val="en-US" w:eastAsia="zh-CN" w:bidi="ar"/>
              </w:rPr>
              <w:t>+</w:t>
            </w:r>
            <w:r>
              <w:rPr>
                <w:rStyle w:val="7"/>
                <w:sz w:val="24"/>
                <w:szCs w:val="24"/>
                <w:lang w:val="en-US" w:eastAsia="zh-CN" w:bidi="ar"/>
              </w:rPr>
              <w:t>非遗”文创产教融合基地的建议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4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80</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D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bl>
    <w:p w14:paraId="50C360B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B319F"/>
    <w:rsid w:val="3E074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qFormat/>
    <w:uiPriority w:val="0"/>
    <w:rPr>
      <w:rFonts w:hint="default" w:ascii="Times New Roman" w:hAnsi="Times New Roman" w:cs="Times New Roman"/>
      <w:color w:val="FF0000"/>
      <w:sz w:val="28"/>
      <w:szCs w:val="28"/>
      <w:u w:val="none"/>
    </w:rPr>
  </w:style>
  <w:style w:type="character" w:customStyle="1" w:styleId="5">
    <w:name w:val="font31"/>
    <w:basedOn w:val="3"/>
    <w:qFormat/>
    <w:uiPriority w:val="0"/>
    <w:rPr>
      <w:rFonts w:hint="eastAsia" w:ascii="方正仿宋_GBK" w:hAnsi="方正仿宋_GBK" w:eastAsia="方正仿宋_GBK" w:cs="方正仿宋_GBK"/>
      <w:color w:val="FF0000"/>
      <w:sz w:val="28"/>
      <w:szCs w:val="28"/>
      <w:u w:val="none"/>
    </w:rPr>
  </w:style>
  <w:style w:type="character" w:customStyle="1" w:styleId="6">
    <w:name w:val="font51"/>
    <w:basedOn w:val="3"/>
    <w:qFormat/>
    <w:uiPriority w:val="0"/>
    <w:rPr>
      <w:rFonts w:hint="default" w:ascii="Times New Roman" w:hAnsi="Times New Roman" w:cs="Times New Roman"/>
      <w:color w:val="000000"/>
      <w:sz w:val="28"/>
      <w:szCs w:val="28"/>
      <w:u w:val="none"/>
    </w:rPr>
  </w:style>
  <w:style w:type="character" w:customStyle="1" w:styleId="7">
    <w:name w:val="font21"/>
    <w:basedOn w:val="3"/>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847</Words>
  <Characters>915</Characters>
  <Lines>0</Lines>
  <Paragraphs>0</Paragraphs>
  <TotalTime>2</TotalTime>
  <ScaleCrop>false</ScaleCrop>
  <LinksUpToDate>false</LinksUpToDate>
  <CharactersWithSpaces>919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weihuai</dc:creator>
  <cp:lastModifiedBy>怀怀</cp:lastModifiedBy>
  <dcterms:modified xsi:type="dcterms:W3CDTF">2025-04-14T06:41:46Z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eyJoZGlkIjoiYWExMTQ0ZTg4Njk4MWQ5OTFlMjBjOWM4ODllNjY2MmMiLCJ1c2VySWQiOiIyNzM3Mjg3OTYifQ==</vt:lpwstr>
  </property>
  <property fmtid="{D5CDD505-2E9C-101B-9397-08002B2CF9AE}" pid="4" name="ICV">
    <vt:lpwstr>D2E35EBB902947C1976EAFD2506CBA06_12</vt:lpwstr>
  </property>
</Properties>
</file>