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仿宋_GBK" w:cs="Times New Roman"/>
          <w:szCs w:val="32"/>
        </w:rPr>
      </w:pPr>
    </w:p>
    <w:p>
      <w:pPr>
        <w:spacing w:line="500" w:lineRule="exact"/>
        <w:rPr>
          <w:rFonts w:hint="default" w:ascii="Times New Roman" w:hAnsi="Times New Roman" w:eastAsia="方正仿宋_GBK" w:cs="Times New Roman"/>
          <w:szCs w:val="32"/>
        </w:rPr>
      </w:pPr>
    </w:p>
    <w:p>
      <w:pPr>
        <w:spacing w:before="312" w:beforeLines="100" w:line="2000" w:lineRule="exact"/>
        <w:ind w:right="-960"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Cs w:val="32"/>
        </w:rPr>
      </w:pPr>
    </w:p>
    <w:p>
      <w:pPr>
        <w:pBdr>
          <w:bottom w:val="single" w:color="FF0000" w:sz="24" w:space="1"/>
        </w:pBdr>
        <w:spacing w:line="580" w:lineRule="exact"/>
        <w:jc w:val="center"/>
        <w:rPr>
          <w:rFonts w:hint="default" w:ascii="Times New Roman" w:hAnsi="Times New Roman" w:eastAsia="方正仿宋_GBK" w:cs="Times New Roman"/>
          <w:szCs w:val="32"/>
        </w:rPr>
      </w:pPr>
      <w:bookmarkStart w:id="0" w:name="doc_mark"/>
      <w:bookmarkEnd w:id="0"/>
      <w:r>
        <w:rPr>
          <w:rFonts w:hint="default" w:ascii="Times New Roman" w:hAnsi="Times New Roman" w:eastAsia="方正仿宋_GBK" w:cs="Times New Roman"/>
          <w:szCs w:val="32"/>
        </w:rPr>
        <w:t>重艺〔2024〕</w:t>
      </w:r>
      <w:r>
        <w:rPr>
          <w:rFonts w:hint="eastAsia" w:eastAsia="方正仿宋_GBK" w:cs="Times New Roman"/>
          <w:szCs w:val="32"/>
          <w:lang w:val="en-US" w:eastAsia="zh-CN"/>
        </w:rPr>
        <w:t>71</w:t>
      </w:r>
      <w:r>
        <w:rPr>
          <w:rFonts w:hint="default" w:ascii="Times New Roman" w:hAnsi="Times New Roman" w:eastAsia="方正仿宋_GBK" w:cs="Times New Roman"/>
          <w:szCs w:val="32"/>
        </w:rPr>
        <w:t>号</w:t>
      </w:r>
    </w:p>
    <w:p>
      <w:pPr>
        <w:spacing w:line="680" w:lineRule="exact"/>
        <w:jc w:val="center"/>
        <w:rPr>
          <w:rFonts w:hint="default" w:ascii="Times New Roman" w:hAnsi="Times New Roman" w:eastAsia="方正小标宋_GBK" w:cs="Times New Roman"/>
          <w:sz w:val="44"/>
          <w:szCs w:val="44"/>
        </w:rPr>
      </w:pP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重庆文化艺术职业学院</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关于印发《重庆文化艺术职业学院审计整改工作实施办法（试行）》的通知</w:t>
      </w:r>
    </w:p>
    <w:p>
      <w:pPr>
        <w:spacing w:line="594" w:lineRule="exact"/>
        <w:rPr>
          <w:rFonts w:hint="default" w:ascii="Times New Roman" w:hAnsi="Times New Roman" w:eastAsia="方正仿宋_GBK" w:cs="Times New Roman"/>
          <w:szCs w:val="32"/>
        </w:rPr>
      </w:pPr>
    </w:p>
    <w:p>
      <w:pPr>
        <w:spacing w:line="594"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rPr>
        <w:t>各二级学院、处（部、室、中心）：</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《重庆文化艺术职业学院审计整改工作实施办法（试行）》已经学校2024年第6次院长办公会审议通过，现印发给你们，请遵照执行。</w:t>
      </w:r>
    </w:p>
    <w:p>
      <w:pPr>
        <w:spacing w:line="594" w:lineRule="exact"/>
        <w:ind w:firstLine="640" w:firstLineChars="200"/>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特此通知</w:t>
      </w:r>
      <w:r>
        <w:rPr>
          <w:rFonts w:hint="default" w:ascii="Times New Roman" w:hAnsi="Times New Roman" w:eastAsia="方正仿宋_GBK" w:cs="Times New Roman"/>
          <w:szCs w:val="32"/>
          <w:lang w:eastAsia="zh-CN"/>
        </w:rPr>
        <w:t>。</w:t>
      </w:r>
    </w:p>
    <w:p>
      <w:pPr>
        <w:spacing w:line="594" w:lineRule="exact"/>
        <w:rPr>
          <w:rFonts w:hint="default" w:ascii="Times New Roman" w:hAnsi="Times New Roman" w:eastAsia="方正仿宋_GBK" w:cs="Times New Roman"/>
          <w:szCs w:val="32"/>
        </w:rPr>
      </w:pPr>
    </w:p>
    <w:p>
      <w:pPr>
        <w:spacing w:line="594" w:lineRule="exact"/>
        <w:ind w:left="2400" w:hanging="2400" w:hangingChars="75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重庆文化艺术职业学院</w:t>
      </w:r>
    </w:p>
    <w:p>
      <w:pPr>
        <w:spacing w:line="594" w:lineRule="exact"/>
        <w:ind w:left="2560" w:hanging="2560" w:hangingChars="8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2024年</w:t>
      </w:r>
      <w:r>
        <w:rPr>
          <w:rFonts w:hint="eastAsia" w:eastAsia="方正仿宋_GBK" w:cs="Times New Roman"/>
          <w:szCs w:val="32"/>
          <w:lang w:val="en-US" w:eastAsia="zh-CN"/>
        </w:rPr>
        <w:t>4</w:t>
      </w:r>
      <w:r>
        <w:rPr>
          <w:rFonts w:hint="default" w:ascii="Times New Roman" w:hAnsi="Times New Roman" w:eastAsia="方正仿宋_GBK" w:cs="Times New Roman"/>
          <w:szCs w:val="32"/>
        </w:rPr>
        <w:t>月</w:t>
      </w:r>
      <w:r>
        <w:rPr>
          <w:rFonts w:hint="eastAsia" w:eastAsia="方正仿宋_GBK" w:cs="Times New Roman"/>
          <w:szCs w:val="32"/>
          <w:lang w:val="en-US" w:eastAsia="zh-CN"/>
        </w:rPr>
        <w:t>2</w:t>
      </w:r>
      <w:r>
        <w:rPr>
          <w:rFonts w:hint="default" w:ascii="Times New Roman" w:hAnsi="Times New Roman" w:eastAsia="方正仿宋_GBK" w:cs="Times New Roman"/>
          <w:szCs w:val="32"/>
        </w:rPr>
        <w:t>日</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重庆文化艺术职业学院</w:t>
      </w:r>
    </w:p>
    <w:p>
      <w:pPr>
        <w:spacing w:line="6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审计整改工作实施办法（试行）</w:t>
      </w:r>
    </w:p>
    <w:p>
      <w:pPr>
        <w:spacing w:line="594" w:lineRule="exact"/>
        <w:rPr>
          <w:rFonts w:hint="default" w:ascii="Times New Roman" w:hAnsi="Times New Roman" w:cs="Times New Roman"/>
          <w:sz w:val="28"/>
          <w:szCs w:val="28"/>
          <w:shd w:val="clear" w:color="FFFFFF" w:fill="D9D9D9"/>
        </w:rPr>
      </w:pPr>
    </w:p>
    <w:p>
      <w:pPr>
        <w:spacing w:line="594" w:lineRule="exact"/>
        <w:rPr>
          <w:rFonts w:hint="default" w:ascii="Times New Roman" w:hAnsi="Times New Roman" w:eastAsia="方正黑体_GBK" w:cs="Times New Roman"/>
          <w:szCs w:val="32"/>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w:t>
      </w:r>
      <w:r>
        <w:rPr>
          <w:rFonts w:hint="default" w:ascii="Times New Roman" w:hAnsi="Times New Roman" w:eastAsia="方正黑体_GBK" w:cs="Times New Roman"/>
          <w:bCs/>
          <w:szCs w:val="32"/>
        </w:rPr>
        <w:t>第一章 总则</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第一条 </w:t>
      </w:r>
      <w:r>
        <w:rPr>
          <w:rFonts w:hint="default" w:ascii="Times New Roman" w:hAnsi="Times New Roman" w:eastAsia="方正仿宋_GBK" w:cs="Times New Roman"/>
          <w:szCs w:val="32"/>
        </w:rPr>
        <w:t>为健全学校审计工作制度体系，强化审计整改工作的规范性和严肃性，不断提升审计整改工作的质量和效果，根据《审计署关于内部审计工作的规定》（审计署令第11号）、《教育系统内部审计工作规定》（教育部令第47号）、《重庆市教育系统审计整改工作实施办法》（渝教财发</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shd w:val="clear" w:color="auto" w:fill="FFFFFF"/>
        </w:rPr>
        <w:t>2019〕</w:t>
      </w:r>
      <w:r>
        <w:rPr>
          <w:rFonts w:hint="default" w:ascii="Times New Roman" w:hAnsi="Times New Roman" w:eastAsia="方正仿宋_GBK" w:cs="Times New Roman"/>
          <w:szCs w:val="32"/>
        </w:rPr>
        <w:t>22号）等法律法规和文件精神，结合学校实际制定本办法。</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第二条 </w:t>
      </w:r>
      <w:r>
        <w:rPr>
          <w:rFonts w:hint="default" w:ascii="Times New Roman" w:hAnsi="Times New Roman" w:eastAsia="方正仿宋_GBK" w:cs="Times New Roman"/>
          <w:szCs w:val="32"/>
        </w:rPr>
        <w:t>本办法所称的审计整改，是指学校和被审计对象有关业务主管部门对国家审计、主管部门审计、社会审计和学校内部审计发现的问题、作出的处理决定和提出的处理建议，在规定期限内采取措施进行纠正、改进和处理的行为。</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第三条 </w:t>
      </w:r>
      <w:r>
        <w:rPr>
          <w:rFonts w:hint="default" w:ascii="Times New Roman" w:hAnsi="Times New Roman" w:eastAsia="方正仿宋_GBK" w:cs="Times New Roman"/>
          <w:szCs w:val="32"/>
        </w:rPr>
        <w:t>本办法所称的学校和被审计对象有关业务主管部门主要是指：接受内部审计或外部审计的被审计部门；根据审计结果需从源头上完善管理的相关业务主管部门；学校领导批示要求整改涉及的相关职能部门；以及承办移送处理事项的相关部门。</w:t>
      </w:r>
    </w:p>
    <w:p>
      <w:pPr>
        <w:spacing w:line="594" w:lineRule="exact"/>
        <w:ind w:firstLine="640" w:firstLineChars="200"/>
        <w:rPr>
          <w:rFonts w:hint="default" w:ascii="Times New Roman" w:hAnsi="Times New Roman" w:eastAsia="方正仿宋_GBK" w:cs="Times New Roman"/>
          <w:szCs w:val="32"/>
        </w:rPr>
      </w:pPr>
      <w:r>
        <w:rPr>
          <w:rFonts w:hint="eastAsia" w:ascii="方正黑体_GBK" w:hAnsi="方正黑体_GBK" w:eastAsia="方正黑体_GBK" w:cs="方正黑体_GBK"/>
          <w:b w:val="0"/>
          <w:bCs w:val="0"/>
          <w:szCs w:val="32"/>
        </w:rPr>
        <w:t xml:space="preserve">第四条 </w:t>
      </w:r>
      <w:r>
        <w:rPr>
          <w:rFonts w:hint="default" w:ascii="Times New Roman" w:hAnsi="Times New Roman" w:eastAsia="方正仿宋_GBK" w:cs="Times New Roman"/>
          <w:szCs w:val="32"/>
        </w:rPr>
        <w:t>本办法所称的审计结果，是指审计报告、审计整改意见书提出的问题以及审计意见（建议），以及需要执行或处理的审计决定书、审计移送处理书中的相关事项。</w:t>
      </w:r>
    </w:p>
    <w:p>
      <w:pPr>
        <w:spacing w:line="594" w:lineRule="exact"/>
        <w:ind w:firstLine="600" w:firstLineChars="200"/>
        <w:rPr>
          <w:rFonts w:hint="eastAsia" w:ascii="方正仿宋_GBK" w:hAnsi="方正仿宋_GBK" w:eastAsia="方正仿宋_GBK" w:cs="方正仿宋_GBK"/>
          <w:szCs w:val="32"/>
        </w:rPr>
      </w:pPr>
      <w:r>
        <w:rPr>
          <w:rFonts w:hint="eastAsia" w:ascii="方正黑体_GBK" w:hAnsi="方正黑体_GBK" w:eastAsia="方正黑体_GBK" w:cs="方正黑体_GBK"/>
          <w:b w:val="0"/>
          <w:bCs w:val="0"/>
          <w:sz w:val="30"/>
          <w:szCs w:val="30"/>
        </w:rPr>
        <w:t xml:space="preserve">第五条 </w:t>
      </w:r>
      <w:r>
        <w:rPr>
          <w:rFonts w:hint="default" w:ascii="Times New Roman" w:hAnsi="Times New Roman" w:eastAsia="方正仿宋_GBK" w:cs="Times New Roman"/>
          <w:sz w:val="30"/>
          <w:szCs w:val="30"/>
        </w:rPr>
        <w:t>审</w:t>
      </w:r>
      <w:r>
        <w:rPr>
          <w:rFonts w:hint="eastAsia" w:ascii="方正仿宋_GBK" w:hAnsi="方正仿宋_GBK" w:eastAsia="方正仿宋_GBK" w:cs="方正仿宋_GBK"/>
          <w:sz w:val="30"/>
          <w:szCs w:val="30"/>
        </w:rPr>
        <w:t>计整改工作遵循依法依规、及时有效的原则，着力</w:t>
      </w:r>
      <w:r>
        <w:rPr>
          <w:rFonts w:hint="eastAsia" w:ascii="方正仿宋_GBK" w:hAnsi="方正仿宋_GBK" w:eastAsia="方正仿宋_GBK" w:cs="方正仿宋_GBK"/>
          <w:szCs w:val="32"/>
        </w:rPr>
        <w:t>于：</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（一）促进国家重大决策部署和有关政策措施落实。</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（二）纠正资金、资产、资源管理不合法、不合规行为。</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（三）清理、处置、解决历史遗留问题。</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（四）提升资金、资产、资源的管理使用绩效。</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（五）建立健全内部管理控制制度。</w:t>
      </w:r>
    </w:p>
    <w:p>
      <w:pPr>
        <w:spacing w:line="594" w:lineRule="exact"/>
        <w:ind w:firstLine="640" w:firstLineChars="200"/>
        <w:rPr>
          <w:rFonts w:hint="default" w:ascii="Times New Roman" w:hAnsi="Times New Roman" w:eastAsia="方正仿宋_GBK" w:cs="Times New Roman"/>
          <w:szCs w:val="32"/>
        </w:rPr>
      </w:pPr>
    </w:p>
    <w:p>
      <w:pPr>
        <w:spacing w:line="594" w:lineRule="exact"/>
        <w:jc w:val="center"/>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第二章 职责分工</w:t>
      </w:r>
    </w:p>
    <w:p>
      <w:pPr>
        <w:spacing w:line="594" w:lineRule="exact"/>
        <w:ind w:firstLine="640" w:firstLineChars="200"/>
        <w:rPr>
          <w:rFonts w:hint="default" w:ascii="Times New Roman" w:hAnsi="Times New Roman" w:eastAsia="方正仿宋_GBK" w:cs="Times New Roman"/>
          <w:szCs w:val="32"/>
        </w:rPr>
      </w:pPr>
      <w:r>
        <w:rPr>
          <w:rFonts w:hint="eastAsia" w:ascii="方正黑体_GBK" w:hAnsi="方正黑体_GBK" w:eastAsia="方正黑体_GBK" w:cs="方正黑体_GBK"/>
          <w:b w:val="0"/>
          <w:bCs w:val="0"/>
          <w:szCs w:val="32"/>
        </w:rPr>
        <w:t xml:space="preserve">第六条 </w:t>
      </w:r>
      <w:r>
        <w:rPr>
          <w:rFonts w:hint="default" w:ascii="Times New Roman" w:hAnsi="Times New Roman" w:eastAsia="方正仿宋_GBK" w:cs="Times New Roman"/>
          <w:szCs w:val="32"/>
        </w:rPr>
        <w:t>学校建立按部门职能权限分工负责、分类督办的审计整改工作机制，各部门各司其职，形成合力，促进审计结果的有效运用。</w:t>
      </w:r>
    </w:p>
    <w:p>
      <w:pPr>
        <w:spacing w:line="594" w:lineRule="exact"/>
        <w:ind w:firstLine="640" w:firstLineChars="200"/>
        <w:rPr>
          <w:rFonts w:hint="default" w:ascii="Times New Roman" w:hAnsi="Times New Roman" w:eastAsia="方正仿宋_GBK" w:cs="Times New Roman"/>
          <w:szCs w:val="32"/>
        </w:rPr>
      </w:pPr>
      <w:r>
        <w:rPr>
          <w:rFonts w:hint="eastAsia" w:ascii="方正黑体_GBK" w:hAnsi="方正黑体_GBK" w:eastAsia="方正黑体_GBK" w:cs="方正黑体_GBK"/>
          <w:b w:val="0"/>
          <w:bCs w:val="0"/>
          <w:szCs w:val="32"/>
        </w:rPr>
        <w:t xml:space="preserve">第七条 </w:t>
      </w:r>
      <w:r>
        <w:rPr>
          <w:rFonts w:hint="default" w:ascii="Times New Roman" w:hAnsi="Times New Roman" w:eastAsia="方正仿宋_GBK" w:cs="Times New Roman"/>
          <w:szCs w:val="32"/>
        </w:rPr>
        <w:t>审计整改工作</w:t>
      </w:r>
      <w:r>
        <w:rPr>
          <w:rFonts w:hint="eastAsia" w:eastAsia="方正仿宋_GBK" w:cs="Times New Roman"/>
          <w:szCs w:val="32"/>
          <w:lang w:val="en-US" w:eastAsia="zh-CN"/>
        </w:rPr>
        <w:t>在</w:t>
      </w:r>
      <w:r>
        <w:rPr>
          <w:rFonts w:hint="default" w:ascii="Times New Roman" w:hAnsi="Times New Roman" w:eastAsia="方正仿宋_GBK" w:cs="Times New Roman"/>
          <w:szCs w:val="32"/>
          <w:highlight w:val="none"/>
        </w:rPr>
        <w:t>校长</w:t>
      </w:r>
      <w:r>
        <w:rPr>
          <w:rFonts w:hint="default" w:ascii="Times New Roman" w:hAnsi="Times New Roman" w:eastAsia="方正仿宋_GBK" w:cs="Times New Roman"/>
          <w:szCs w:val="32"/>
        </w:rPr>
        <w:t>领导下开展，各分管校领导和有关责任部门予以协助与配合。有关责任部门为审计整改工作的首要责任部门，负有直接责任，分管校领导负有主管责任。</w:t>
      </w:r>
    </w:p>
    <w:p>
      <w:pPr>
        <w:spacing w:line="594" w:lineRule="exact"/>
        <w:ind w:firstLine="640" w:firstLineChars="200"/>
        <w:rPr>
          <w:rFonts w:hint="eastAsia" w:ascii="方正仿宋_GBK" w:hAnsi="方正仿宋_GBK" w:eastAsia="方正仿宋_GBK" w:cs="方正仿宋_GBK"/>
          <w:szCs w:val="32"/>
        </w:rPr>
      </w:pPr>
      <w:r>
        <w:rPr>
          <w:rFonts w:hint="default" w:ascii="方正黑体_GBK" w:hAnsi="方正黑体_GBK" w:eastAsia="方正黑体_GBK" w:cs="方正黑体_GBK"/>
          <w:b w:val="0"/>
          <w:bCs w:val="0"/>
          <w:szCs w:val="32"/>
        </w:rPr>
        <w:t xml:space="preserve">第八条 </w:t>
      </w:r>
      <w:r>
        <w:rPr>
          <w:rFonts w:hint="default" w:ascii="Times New Roman" w:hAnsi="Times New Roman" w:eastAsia="方正仿宋_GBK" w:cs="Times New Roman"/>
          <w:szCs w:val="32"/>
        </w:rPr>
        <w:t xml:space="preserve">对重大重点审计项目的整改，学校按照 </w:t>
      </w:r>
      <w:r>
        <w:rPr>
          <w:rFonts w:hint="eastAsia" w:eastAsia="方正仿宋_GBK" w:cs="Times New Roman"/>
          <w:szCs w:val="32"/>
          <w:lang w:eastAsia="zh-CN"/>
        </w:rPr>
        <w:t>“</w:t>
      </w:r>
      <w:r>
        <w:rPr>
          <w:rFonts w:hint="default" w:ascii="Times New Roman" w:hAnsi="Times New Roman" w:eastAsia="方正仿宋_GBK" w:cs="Times New Roman"/>
          <w:szCs w:val="32"/>
        </w:rPr>
        <w:t>三重一大</w:t>
      </w:r>
      <w:r>
        <w:rPr>
          <w:rFonts w:hint="eastAsia" w:eastAsia="方正仿宋_GBK" w:cs="Times New Roman"/>
          <w:szCs w:val="32"/>
          <w:lang w:eastAsia="zh-CN"/>
        </w:rPr>
        <w:t>”</w:t>
      </w:r>
      <w:r>
        <w:rPr>
          <w:rFonts w:hint="default" w:ascii="Times New Roman" w:hAnsi="Times New Roman" w:eastAsia="方正仿宋_GBK" w:cs="Times New Roman"/>
          <w:szCs w:val="32"/>
        </w:rPr>
        <w:t>集体决策机制进行集体研究部署、审定整改方案、督促整改进度、审定</w:t>
      </w:r>
      <w:r>
        <w:rPr>
          <w:rFonts w:hint="eastAsia" w:ascii="方正仿宋_GBK" w:hAnsi="方正仿宋_GBK" w:eastAsia="方正仿宋_GBK" w:cs="方正仿宋_GBK"/>
          <w:szCs w:val="32"/>
        </w:rPr>
        <w:t>整改结果等。重大重点审计项目包括：</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（一）国家审计机关、主管部门组织实施的预算执行审计和其他财政财务收支审计。</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（二）国家审计机关、主管部门组织实施的单位领导干部经济责任审计。</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（三）国家审计机关、主管部门等组织实施的重大重点专项审计。</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（四）本单位组织的重大重点内部审计。</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（五）其他重大重点审计。</w:t>
      </w:r>
    </w:p>
    <w:p>
      <w:pPr>
        <w:spacing w:line="594" w:lineRule="exact"/>
        <w:ind w:firstLine="640" w:firstLineChars="200"/>
        <w:rPr>
          <w:rFonts w:hint="eastAsia" w:ascii="方正仿宋_GBK" w:hAnsi="方正仿宋_GBK" w:eastAsia="方正仿宋_GBK" w:cs="方正仿宋_GBK"/>
          <w:szCs w:val="32"/>
        </w:rPr>
      </w:pPr>
      <w:r>
        <w:rPr>
          <w:rFonts w:hint="eastAsia" w:ascii="方正黑体_GBK" w:hAnsi="方正黑体_GBK" w:eastAsia="方正黑体_GBK" w:cs="方正黑体_GBK"/>
          <w:b w:val="0"/>
          <w:bCs w:val="0"/>
          <w:szCs w:val="32"/>
        </w:rPr>
        <w:t xml:space="preserve">第九条 </w:t>
      </w:r>
      <w:r>
        <w:rPr>
          <w:rFonts w:hint="eastAsia" w:ascii="方正仿宋_GBK" w:hAnsi="方正仿宋_GBK" w:eastAsia="方正仿宋_GBK" w:cs="方正仿宋_GBK"/>
          <w:szCs w:val="32"/>
        </w:rPr>
        <w:t>审计处负责组织实施日常审计整改工作，主要职责有：</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（一）制定学校审计整改有关文件。</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（二）根据审计结果制定问题清单、整改清单和整改台账。</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（三）制定并下发审计整改通知书。</w:t>
      </w:r>
    </w:p>
    <w:p>
      <w:pPr>
        <w:spacing w:line="594"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（四）对整改工作进展和效果进行跟踪检查。</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第十条 </w:t>
      </w:r>
      <w:r>
        <w:rPr>
          <w:rFonts w:hint="default" w:ascii="Times New Roman" w:hAnsi="Times New Roman" w:eastAsia="方正仿宋_GBK" w:cs="Times New Roman"/>
          <w:szCs w:val="32"/>
        </w:rPr>
        <w:t>审计整改工作的责任主体是被审计部门，其现任主要负责人为审计整改工作的第一责任人；已离任的领导干部负有配合原任职部门做好审计整改工作的责任和义务；科研经费审计整改第一责任人为被审计项目的项目负责人。</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第十一条 </w:t>
      </w:r>
      <w:r>
        <w:rPr>
          <w:rFonts w:hint="default" w:ascii="Times New Roman" w:hAnsi="Times New Roman" w:eastAsia="方正仿宋_GBK" w:cs="Times New Roman"/>
          <w:szCs w:val="32"/>
        </w:rPr>
        <w:t>被审计部门应当将落实审计整改工作纳入领导班子议事决策事项，加强对审计整改工作的组织领导，确定审计整改的工作机制、实施方案等，强化审计整改工作落实。对审计中发现的问题，深入分析原因，完善相关管理制度，健全内部控制，建立长效整改机制，促进治理体系的完善和治理能力的提升。</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第十二条 </w:t>
      </w:r>
      <w:r>
        <w:rPr>
          <w:rFonts w:hint="default" w:ascii="Times New Roman" w:hAnsi="Times New Roman" w:eastAsia="方正仿宋_GBK" w:cs="Times New Roman"/>
          <w:szCs w:val="32"/>
        </w:rPr>
        <w:t>学校相关业务管理部门要积极承担与主管事项有关的整改工作，对审计反映的普遍性、倾向性问题，要认真研究，及时修改或完善相关制度。</w:t>
      </w:r>
    </w:p>
    <w:p>
      <w:pPr>
        <w:pStyle w:val="6"/>
        <w:widowControl/>
        <w:spacing w:before="150" w:beforeAutospacing="0" w:after="150" w:afterAutospacing="0" w:line="594" w:lineRule="exact"/>
        <w:ind w:firstLine="640" w:firstLineChars="200"/>
        <w:jc w:val="center"/>
        <w:rPr>
          <w:rFonts w:hint="default" w:ascii="Times New Roman" w:hAnsi="Times New Roman" w:eastAsia="方正黑体_GBK" w:cs="Times New Roman"/>
          <w:bCs/>
          <w:sz w:val="32"/>
          <w:szCs w:val="32"/>
        </w:rPr>
      </w:pPr>
    </w:p>
    <w:p>
      <w:pPr>
        <w:pStyle w:val="6"/>
        <w:widowControl/>
        <w:spacing w:before="150" w:beforeAutospacing="0" w:after="150" w:afterAutospacing="0" w:line="594" w:lineRule="exact"/>
        <w:ind w:firstLine="640" w:firstLineChars="200"/>
        <w:jc w:val="center"/>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第三章 审计整改内容和程序</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第十三条 </w:t>
      </w:r>
      <w:r>
        <w:rPr>
          <w:rFonts w:hint="default" w:ascii="Times New Roman" w:hAnsi="Times New Roman" w:eastAsia="方正仿宋_GBK" w:cs="Times New Roman"/>
          <w:szCs w:val="32"/>
        </w:rPr>
        <w:t>审计整改的内容包括：</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（一）政府审计决定书做出的整改决定。</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（二）主管部门审计做出的整改决定。</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（三）外部审计报告提出的整改意见。</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（四）内部审计查出的问题。</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（五）采纳审计建议，制定并落实的相关改进措施。</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第十四条</w:t>
      </w:r>
      <w:r>
        <w:rPr>
          <w:rFonts w:hint="eastAsia" w:ascii="方正黑体_GBK" w:hAnsi="方正黑体_GBK" w:eastAsia="方正黑体_GBK" w:cs="方正黑体_GBK"/>
          <w:b w:val="0"/>
          <w:bCs w:val="0"/>
          <w:szCs w:val="32"/>
          <w:lang w:val="en-US" w:eastAsia="zh-CN"/>
        </w:rPr>
        <w:t xml:space="preserve"> </w:t>
      </w:r>
      <w:r>
        <w:rPr>
          <w:rFonts w:hint="default" w:ascii="Times New Roman" w:hAnsi="Times New Roman" w:eastAsia="方正仿宋_GBK" w:cs="Times New Roman"/>
          <w:szCs w:val="32"/>
        </w:rPr>
        <w:t>审计处根据审计报告对审计发现问题提出审计整改要求，列出审计发现问题清单，建立审计整改台账，完善</w:t>
      </w:r>
      <w:r>
        <w:rPr>
          <w:rFonts w:hint="eastAsia" w:eastAsia="方正仿宋_GBK" w:cs="Times New Roman"/>
          <w:szCs w:val="32"/>
          <w:lang w:eastAsia="zh-CN"/>
        </w:rPr>
        <w:t>“</w:t>
      </w:r>
      <w:r>
        <w:rPr>
          <w:rFonts w:hint="default" w:ascii="Times New Roman" w:hAnsi="Times New Roman" w:eastAsia="方正仿宋_GBK" w:cs="Times New Roman"/>
          <w:szCs w:val="32"/>
        </w:rPr>
        <w:t>问题清单</w:t>
      </w:r>
      <w:r>
        <w:rPr>
          <w:rFonts w:hint="eastAsia" w:eastAsia="方正仿宋_GBK" w:cs="Times New Roman"/>
          <w:szCs w:val="32"/>
          <w:lang w:eastAsia="zh-CN"/>
        </w:rPr>
        <w:t>”</w:t>
      </w:r>
      <w:r>
        <w:rPr>
          <w:rFonts w:hint="default" w:ascii="Times New Roman" w:hAnsi="Times New Roman" w:eastAsia="方正仿宋_GBK" w:cs="Times New Roman"/>
          <w:szCs w:val="32"/>
        </w:rPr>
        <w:t>和</w:t>
      </w:r>
      <w:r>
        <w:rPr>
          <w:rFonts w:hint="eastAsia" w:eastAsia="方正仿宋_GBK" w:cs="Times New Roman"/>
          <w:szCs w:val="32"/>
          <w:lang w:eastAsia="zh-CN"/>
        </w:rPr>
        <w:t>“</w:t>
      </w:r>
      <w:r>
        <w:rPr>
          <w:rFonts w:hint="default" w:ascii="Times New Roman" w:hAnsi="Times New Roman" w:eastAsia="方正仿宋_GBK" w:cs="Times New Roman"/>
          <w:szCs w:val="32"/>
        </w:rPr>
        <w:t>整改清单</w:t>
      </w:r>
      <w:r>
        <w:rPr>
          <w:rFonts w:hint="eastAsia" w:eastAsia="方正仿宋_GBK" w:cs="Times New Roman"/>
          <w:szCs w:val="32"/>
          <w:lang w:eastAsia="zh-CN"/>
        </w:rPr>
        <w:t>”</w:t>
      </w:r>
      <w:r>
        <w:rPr>
          <w:rFonts w:hint="default" w:ascii="Times New Roman" w:hAnsi="Times New Roman" w:eastAsia="方正仿宋_GBK" w:cs="Times New Roman"/>
          <w:szCs w:val="32"/>
        </w:rPr>
        <w:t>对接机制，对审计整改情况进行跟踪检查，整改完成后在台账上对应销号。</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第十五条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被审计部门收到审计报告后，应将落实整改工作纳入部门重点工作，加强对审计整改工作</w:t>
      </w:r>
      <w:r>
        <w:rPr>
          <w:rFonts w:hint="default" w:eastAsia="方正仿宋_GBK" w:cs="Times New Roman"/>
          <w:szCs w:val="32"/>
        </w:rPr>
        <w:t>的</w:t>
      </w:r>
      <w:r>
        <w:rPr>
          <w:rFonts w:hint="default" w:ascii="Times New Roman" w:hAnsi="Times New Roman" w:eastAsia="方正仿宋_GBK" w:cs="Times New Roman"/>
          <w:szCs w:val="32"/>
        </w:rPr>
        <w:t>组织领导，制定审计整改工作方案并认真落实。针对审计反映的典型性、普遍性和倾向性问题，要认真研究，及时修改并完善相应的制度，建立健全与之相适应的体制机制。</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第十六条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被审计部门在接到审计报告或整改通知后应按期提交审计整改报告，具体要求如下：</w:t>
      </w:r>
    </w:p>
    <w:p>
      <w:pPr>
        <w:spacing w:line="594" w:lineRule="exact"/>
        <w:ind w:firstLine="640" w:firstLineChars="200"/>
        <w:rPr>
          <w:rFonts w:hint="eastAsia" w:ascii="Times New Roman" w:hAnsi="Times New Roman" w:eastAsia="方正仿宋_GBK" w:cs="Times New Roman"/>
          <w:szCs w:val="32"/>
          <w:lang w:eastAsia="zh-CN"/>
        </w:rPr>
      </w:pPr>
      <w:r>
        <w:rPr>
          <w:rFonts w:hint="default" w:ascii="Times New Roman" w:hAnsi="Times New Roman" w:eastAsia="方正仿宋_GBK" w:cs="Times New Roman"/>
          <w:szCs w:val="32"/>
        </w:rPr>
        <w:t>（一）政府审计决定书、主管部门审计决定书做出的整改决定书以及外部审计报告提出的整改意见，整改责任部门30个工作日内完成整改，并向学校整改牵头组织</w:t>
      </w:r>
      <w:r>
        <w:rPr>
          <w:rFonts w:hint="eastAsia" w:eastAsia="方正仿宋_GBK" w:cs="Times New Roman"/>
          <w:szCs w:val="32"/>
          <w:lang w:val="en-US" w:eastAsia="zh-CN"/>
        </w:rPr>
        <w:t>部门</w:t>
      </w:r>
      <w:r>
        <w:rPr>
          <w:rFonts w:hint="default" w:ascii="Times New Roman" w:hAnsi="Times New Roman" w:eastAsia="方正仿宋_GBK" w:cs="Times New Roman"/>
          <w:szCs w:val="32"/>
        </w:rPr>
        <w:t>提交书面整改报告</w:t>
      </w:r>
      <w:r>
        <w:rPr>
          <w:rFonts w:hint="eastAsia" w:eastAsia="方正仿宋_GBK" w:cs="Times New Roman"/>
          <w:szCs w:val="32"/>
          <w:lang w:eastAsia="zh-CN"/>
        </w:rPr>
        <w:t>。</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（二）内部审计查出的问题，被审计部门在收到审计报告或整改通知日起60个工作日内，完成整改并将整改结果书面报送审计处。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整改期限内无法完成的，应制定切实可行的整改计划交审计处编号登记，整改计划应包含整改措施、期限、推进时间节点及目标。整改完成后，在审计处备案销号。</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第十七条</w:t>
      </w:r>
      <w:r>
        <w:rPr>
          <w:rFonts w:hint="eastAsia" w:eastAsia="方正仿宋_GBK" w:cs="Times New Roman"/>
          <w:b/>
          <w:bCs/>
          <w:szCs w:val="32"/>
          <w:lang w:eastAsia="zh-CN"/>
        </w:rPr>
        <w:t xml:space="preserve"> </w:t>
      </w:r>
      <w:r>
        <w:rPr>
          <w:rFonts w:hint="default" w:ascii="Times New Roman" w:hAnsi="Times New Roman" w:eastAsia="方正仿宋_GBK" w:cs="Times New Roman"/>
          <w:szCs w:val="32"/>
        </w:rPr>
        <w:t>审计整改报告主要包括以下内容：</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（一）审计整改的总体情况。</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（二）审计发现问题的原因分析。</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（三）审计整改进度、整改措施，整改措施包含对已发现问题处理情况和完善内部管理制度等情况。</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（四）正在整改事项的原因分析及下一步整改措施。</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（五）整改报告中未完成或短期内无法整改完成的审计整改事项的原因分析及计划完成时间。</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（六）审计整改过程中有关强化内部管理，完善内部控制相关制度情况。</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（七）落实整改必要证明支撑材料。</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（八）其他相关内容。</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第十八条</w:t>
      </w:r>
      <w:r>
        <w:rPr>
          <w:rFonts w:hint="default" w:ascii="Times New Roman" w:hAnsi="Times New Roman" w:eastAsia="方正仿宋_GBK" w:cs="Times New Roman"/>
          <w:szCs w:val="32"/>
        </w:rPr>
        <w:t xml:space="preserve"> 审计整改的主要方式：</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（一）停止并纠正相关违规违纪行为。</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（二）退还违规违纪资金、资产等。</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（三）造成单位损失或产生不良影响的，依法追究相关人员责任。</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（四）完善各项相关管理制度。</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（五）其他方式。</w:t>
      </w:r>
    </w:p>
    <w:p>
      <w:pPr>
        <w:spacing w:line="594" w:lineRule="exact"/>
        <w:rPr>
          <w:rFonts w:hint="default" w:ascii="Times New Roman" w:hAnsi="Times New Roman" w:eastAsia="方正仿宋_GBK" w:cs="Times New Roman"/>
          <w:szCs w:val="32"/>
        </w:rPr>
      </w:pPr>
    </w:p>
    <w:p>
      <w:pPr>
        <w:spacing w:line="594" w:lineRule="exact"/>
        <w:ind w:firstLine="640" w:firstLineChars="200"/>
        <w:jc w:val="center"/>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第四章 审计整改工作标准</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第十九条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审计整改按照整改标准，分为完成整改、正在整改、未整改、长期改进四种情况。</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第二十条</w:t>
      </w:r>
      <w:r>
        <w:rPr>
          <w:rFonts w:hint="eastAsia" w:ascii="Times New Roman" w:hAnsi="Times New Roman" w:eastAsia="方正仿宋_GBK" w:cs="Times New Roman"/>
          <w:szCs w:val="32"/>
          <w:lang w:eastAsia="zh-CN"/>
        </w:rPr>
        <w:t xml:space="preserve"> </w:t>
      </w:r>
      <w:r>
        <w:rPr>
          <w:rFonts w:hint="default" w:ascii="Times New Roman" w:hAnsi="Times New Roman" w:eastAsia="方正仿宋_GBK" w:cs="Times New Roman"/>
          <w:szCs w:val="32"/>
        </w:rPr>
        <w:t>对照下列标准，可认定完成整改。</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（一）审计过程中已终止违规行为，消除违规行为后果，并采取相应措施规范管理的。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（二）需要整改的违规行为已调整或纠正，整改措施全部落实到位的。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（三）针对体制机制造成的问题，已经完成体制完善及制度建设等长效机制，运行情况良好。</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（四）其他可以认定的完成整改的情况。</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第二十一条</w:t>
      </w:r>
      <w:r>
        <w:rPr>
          <w:rFonts w:hint="default" w:ascii="Times New Roman" w:hAnsi="Times New Roman" w:eastAsia="方正仿宋_GBK" w:cs="Times New Roman"/>
          <w:szCs w:val="32"/>
        </w:rPr>
        <w:t xml:space="preserve"> 对照下列标准，认定为正在整改或未整改。</w:t>
      </w:r>
    </w:p>
    <w:p>
      <w:pPr>
        <w:spacing w:line="594" w:lineRule="exact"/>
        <w:ind w:firstLine="640" w:firstLineChars="200"/>
        <w:rPr>
          <w:rFonts w:hint="eastAsia" w:ascii="Times New Roman" w:hAnsi="Times New Roman" w:eastAsia="方正仿宋_GBK" w:cs="Times New Roman"/>
          <w:szCs w:val="32"/>
          <w:lang w:eastAsia="zh-CN"/>
        </w:rPr>
      </w:pPr>
      <w:r>
        <w:rPr>
          <w:rFonts w:hint="default" w:ascii="Times New Roman" w:hAnsi="Times New Roman" w:eastAsia="方正仿宋_GBK" w:cs="Times New Roman"/>
          <w:szCs w:val="32"/>
        </w:rPr>
        <w:t>（一）存在下列情形之一，可认定为正在整改</w:t>
      </w:r>
      <w:r>
        <w:rPr>
          <w:rFonts w:hint="eastAsia" w:eastAsia="方正仿宋_GBK" w:cs="Times New Roman"/>
          <w:szCs w:val="32"/>
          <w:lang w:eastAsia="zh-CN"/>
        </w:rPr>
        <w:t>。</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1.多个违规行为或单个违规问题，涉及多个部门，部分已经调整或纠正，但尚未全部落实到位的。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2.已有整改方案或措施，但审计整改步骤多、周期长，部分过程未实施或未完全实施的。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3.审计整改措施已经实施，但尚未达到整改预期目标的。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4.其他适用正在整改的情况。</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（二）存在下列情形之一的，整改状态可认定为未整改。</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1.由于问题整改条件不具备，客观上暂时整改不了的。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2.主观认识不到位，审计发现问题尚未进入整改流程的。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3.其他适用未整改的情况。</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第二十二条</w:t>
      </w:r>
      <w:r>
        <w:rPr>
          <w:rFonts w:hint="default" w:ascii="Times New Roman" w:hAnsi="Times New Roman" w:eastAsia="方正仿宋_GBK" w:cs="Times New Roman"/>
          <w:szCs w:val="32"/>
        </w:rPr>
        <w:t xml:space="preserve"> 按下列标准，认定为长期改进。</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（一）整改问题属实，已通过建章立制等措施防止问题再次发生的。</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（二）其他适用长期改进的情况。</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第二十三条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审计处根据审计整改台账记录和</w:t>
      </w:r>
      <w:r>
        <w:rPr>
          <w:rFonts w:hint="eastAsia" w:eastAsia="方正仿宋_GBK" w:cs="Times New Roman"/>
          <w:szCs w:val="32"/>
          <w:lang w:eastAsia="zh-CN"/>
        </w:rPr>
        <w:t>“</w:t>
      </w:r>
      <w:r>
        <w:rPr>
          <w:rFonts w:hint="default" w:ascii="Times New Roman" w:hAnsi="Times New Roman" w:eastAsia="方正仿宋_GBK" w:cs="Times New Roman"/>
          <w:szCs w:val="32"/>
        </w:rPr>
        <w:t>两个清单</w:t>
      </w:r>
      <w:r>
        <w:rPr>
          <w:rFonts w:hint="eastAsia" w:eastAsia="方正仿宋_GBK" w:cs="Times New Roman"/>
          <w:szCs w:val="32"/>
          <w:lang w:eastAsia="zh-CN"/>
        </w:rPr>
        <w:t>”</w:t>
      </w:r>
      <w:r>
        <w:rPr>
          <w:rFonts w:hint="default" w:ascii="Times New Roman" w:hAnsi="Times New Roman" w:eastAsia="方正仿宋_GBK" w:cs="Times New Roman"/>
          <w:szCs w:val="32"/>
        </w:rPr>
        <w:t>，按照上述标准和情况对照检查，符合完成整改条件的可以销号，未完成整改的，不得销号。</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第二十四条</w:t>
      </w:r>
      <w:r>
        <w:rPr>
          <w:rFonts w:hint="default" w:ascii="Times New Roman" w:hAnsi="Times New Roman" w:eastAsia="方正仿宋_GBK" w:cs="Times New Roman"/>
          <w:szCs w:val="32"/>
        </w:rPr>
        <w:t xml:space="preserve"> 整改责任部门应对审计揭示的普遍性、倾向性、苗头性问题，尤其是涉及体制机制的问题、历史遗留的问题应认真分析研究，必要时和相关部门联合会商，共同研究解决。</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第二十五条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因国家法律法规及相关政策发生变动，审计整改责任部门整改环境发生重大变化，造成审计整改无法继续完成或无法短期完成的，责任部门提出申请经分管领导同意后报审计处，审计处初审确认后报校领导同意后予以销号或延期整改。</w:t>
      </w:r>
    </w:p>
    <w:p>
      <w:pPr>
        <w:spacing w:line="594" w:lineRule="exact"/>
        <w:ind w:firstLine="640" w:firstLineChars="200"/>
        <w:rPr>
          <w:rFonts w:hint="default" w:ascii="Times New Roman" w:hAnsi="Times New Roman" w:eastAsia="方正仿宋_GBK" w:cs="Times New Roman"/>
          <w:szCs w:val="32"/>
        </w:rPr>
      </w:pPr>
    </w:p>
    <w:p>
      <w:pPr>
        <w:spacing w:line="594" w:lineRule="exact"/>
        <w:ind w:firstLine="640" w:firstLineChars="200"/>
        <w:jc w:val="center"/>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第五章 审计整改成果运用</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第二十六条</w:t>
      </w:r>
      <w:r>
        <w:rPr>
          <w:rFonts w:hint="eastAsia" w:eastAsia="方正仿宋_GBK" w:cs="Times New Roman"/>
          <w:szCs w:val="32"/>
          <w:lang w:eastAsia="zh-CN"/>
        </w:rPr>
        <w:t xml:space="preserve"> </w:t>
      </w:r>
      <w:r>
        <w:rPr>
          <w:rFonts w:hint="default" w:ascii="Times New Roman" w:hAnsi="Times New Roman" w:eastAsia="方正仿宋_GBK" w:cs="Times New Roman"/>
          <w:szCs w:val="32"/>
        </w:rPr>
        <w:t>建立审计整改工作联动机制，强化审计整改结果运用。</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（一）整改落实部门应当运用审计结果，主动对照检查、举一反三，建立健全内部控制运行机制。</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（二）校纪检监察机构按有关规定对审计发现问题整改情况开展监督检查，负责对移交的审计问题线索进行处置。</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党政办公室（党委巡察办公室）、党委组织部（党委统战部）、党委教师工作部（人事处）应当将审计结果和审计整改情况，纳入校属部门工作目标任务推进、年度考核内容、部门管理绩效评定、年度绩效考核中。同时，按照干部管理权限，实施审计结果和审计整改情况在干部考察中的有效运用。</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（四）财务与资产管理处依照审计结果和审计整改情况，作为年度预算编制参考因素。</w:t>
      </w:r>
    </w:p>
    <w:p>
      <w:pPr>
        <w:spacing w:line="594"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（五）各职能部门应当对审计结果和审计整改过程中反映的典型性、普遍性、倾向性问题及时进行研究，并将其作为采取有关措施、完善有关制度规定的参考依据。</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第二十七条</w:t>
      </w:r>
      <w:r>
        <w:rPr>
          <w:rFonts w:hint="eastAsia" w:ascii="方正黑体_GBK" w:hAnsi="方正黑体_GBK" w:eastAsia="方正黑体_GBK" w:cs="方正黑体_GBK"/>
          <w:b w:val="0"/>
          <w:bCs w:val="0"/>
          <w:szCs w:val="32"/>
          <w:lang w:eastAsia="zh-CN"/>
        </w:rPr>
        <w:t xml:space="preserve"> </w:t>
      </w:r>
      <w:r>
        <w:rPr>
          <w:rFonts w:hint="default" w:ascii="Times New Roman" w:hAnsi="Times New Roman" w:eastAsia="方正仿宋_GBK" w:cs="Times New Roman"/>
          <w:szCs w:val="32"/>
        </w:rPr>
        <w:t>建议被审计部门将审计查出问题及整改情况纳入领导班子民主生活会检视内容。</w:t>
      </w:r>
    </w:p>
    <w:p>
      <w:pPr>
        <w:spacing w:line="594" w:lineRule="exact"/>
        <w:ind w:firstLine="640" w:firstLineChars="200"/>
        <w:rPr>
          <w:rFonts w:hint="default" w:ascii="Times New Roman" w:hAnsi="Times New Roman" w:eastAsia="方正仿宋_GBK" w:cs="Times New Roman"/>
          <w:szCs w:val="32"/>
        </w:rPr>
      </w:pPr>
    </w:p>
    <w:p>
      <w:pPr>
        <w:spacing w:line="594" w:lineRule="exact"/>
        <w:ind w:firstLine="640" w:firstLineChars="200"/>
        <w:jc w:val="center"/>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第六章 责任追究</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第二十八条</w:t>
      </w:r>
      <w:r>
        <w:rPr>
          <w:rFonts w:hint="default" w:ascii="Times New Roman" w:hAnsi="Times New Roman" w:eastAsia="方正仿宋_GBK" w:cs="Times New Roman"/>
          <w:szCs w:val="32"/>
        </w:rPr>
        <w:t xml:space="preserve"> 建立审计整改约谈机制。对审计查出问题整改落实不到位、未在规定时间内落实整改又未说明原因或原因不充分、不按规定配合审计整改的，视情况由审计处提请党政办公室（党委巡察办公室）、党委组织部（党委统战部）等部门约谈责任部门的主要负责人或相关人员。</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第二十九条</w:t>
      </w:r>
      <w:r>
        <w:rPr>
          <w:rFonts w:hint="default" w:ascii="Times New Roman" w:hAnsi="Times New Roman" w:eastAsia="方正仿宋_GBK" w:cs="Times New Roman"/>
          <w:szCs w:val="32"/>
        </w:rPr>
        <w:t xml:space="preserve"> 建立审计整改追责问责机制。对责任部门整改不力、虚假整改、拒绝或拖延整改、以及屡审屡犯且情节较为严重的，审计处应及时报告，结合会议精神或领导批示，提请校纪检监察机构依照规定程序进行追责问责。</w:t>
      </w:r>
    </w:p>
    <w:p>
      <w:pPr>
        <w:spacing w:line="594" w:lineRule="exact"/>
        <w:ind w:firstLine="640" w:firstLineChars="200"/>
        <w:rPr>
          <w:rFonts w:hint="default" w:ascii="Times New Roman" w:hAnsi="Times New Roman" w:eastAsia="方正仿宋_GBK" w:cs="Times New Roman"/>
          <w:szCs w:val="32"/>
        </w:rPr>
      </w:pPr>
    </w:p>
    <w:p>
      <w:pPr>
        <w:spacing w:line="594" w:lineRule="exact"/>
        <w:jc w:val="center"/>
        <w:rPr>
          <w:rFonts w:hint="default" w:ascii="Times New Roman" w:hAnsi="Times New Roman" w:eastAsia="方正黑体_GBK" w:cs="Times New Roman"/>
          <w:bCs/>
          <w:szCs w:val="32"/>
        </w:rPr>
      </w:pPr>
      <w:r>
        <w:rPr>
          <w:rFonts w:hint="default" w:ascii="Times New Roman" w:hAnsi="Times New Roman" w:eastAsia="方正黑体_GBK" w:cs="Times New Roman"/>
          <w:bCs/>
          <w:szCs w:val="32"/>
        </w:rPr>
        <w:t>第七章 附则</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 xml:space="preserve">第三十条 </w:t>
      </w:r>
      <w:r>
        <w:rPr>
          <w:rFonts w:hint="default" w:ascii="Times New Roman" w:hAnsi="Times New Roman" w:eastAsia="方正仿宋_GBK" w:cs="Times New Roman"/>
          <w:szCs w:val="32"/>
        </w:rPr>
        <w:t>上级审计机关和主管部门等组织实施的审计发现问题的整改，有上级文件规定的按上级文件规定执行，无上级文件规定的按本办法执行。</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第三十一条</w:t>
      </w:r>
      <w:r>
        <w:rPr>
          <w:rFonts w:hint="default" w:ascii="Times New Roman" w:hAnsi="Times New Roman" w:eastAsia="方正仿宋_GBK" w:cs="Times New Roman"/>
          <w:szCs w:val="32"/>
        </w:rPr>
        <w:t xml:space="preserve"> 本办法由审计处负责解释。</w:t>
      </w:r>
    </w:p>
    <w:p>
      <w:pPr>
        <w:spacing w:line="594" w:lineRule="exact"/>
        <w:ind w:firstLine="640" w:firstLineChars="200"/>
        <w:rPr>
          <w:rFonts w:hint="default" w:ascii="Times New Roman" w:hAnsi="Times New Roman" w:eastAsia="方正仿宋_GBK" w:cs="Times New Roman"/>
          <w:szCs w:val="32"/>
        </w:rPr>
      </w:pPr>
      <w:r>
        <w:rPr>
          <w:rFonts w:hint="default" w:ascii="方正黑体_GBK" w:hAnsi="方正黑体_GBK" w:eastAsia="方正黑体_GBK" w:cs="方正黑体_GBK"/>
          <w:b w:val="0"/>
          <w:bCs w:val="0"/>
          <w:szCs w:val="32"/>
        </w:rPr>
        <w:t>第三十二条</w:t>
      </w:r>
      <w:r>
        <w:rPr>
          <w:rFonts w:hint="default" w:ascii="Times New Roman" w:hAnsi="Times New Roman" w:eastAsia="方正仿宋_GBK" w:cs="Times New Roman"/>
          <w:b/>
          <w:bCs/>
          <w:szCs w:val="32"/>
        </w:rPr>
        <w:t xml:space="preserve"> </w:t>
      </w:r>
      <w:r>
        <w:rPr>
          <w:rFonts w:hint="default" w:ascii="Times New Roman" w:hAnsi="Times New Roman" w:eastAsia="方正仿宋_GBK" w:cs="Times New Roman"/>
          <w:szCs w:val="32"/>
        </w:rPr>
        <w:t>本办法自发文之日起施行。</w:t>
      </w:r>
    </w:p>
    <w:p>
      <w:pPr>
        <w:spacing w:line="594" w:lineRule="exact"/>
        <w:rPr>
          <w:rFonts w:hint="default" w:ascii="Times New Roman" w:hAnsi="Times New Roman" w:eastAsia="方正仿宋_GBK" w:cs="Times New Roman"/>
          <w:szCs w:val="32"/>
        </w:rPr>
      </w:pPr>
    </w:p>
    <w:p>
      <w:pPr>
        <w:pStyle w:val="3"/>
        <w:ind w:firstLine="640"/>
        <w:rPr>
          <w:rFonts w:hint="default" w:ascii="Times New Roman" w:hAnsi="Times New Roman" w:eastAsia="方正仿宋_GBK" w:cs="Times New Roman"/>
          <w:sz w:val="32"/>
          <w:szCs w:val="32"/>
        </w:rPr>
      </w:pPr>
    </w:p>
    <w:p>
      <w:pPr>
        <w:spacing w:line="594"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rPr>
        <w:t>附件：1.审计发现问题清单</w:t>
      </w:r>
    </w:p>
    <w:p>
      <w:pPr>
        <w:pStyle w:val="3"/>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2.审计整改结果清单</w:t>
      </w:r>
    </w:p>
    <w:p>
      <w:pPr>
        <w:pStyle w:val="3"/>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3.审计整改结果对账销号清单</w:t>
      </w:r>
    </w:p>
    <w:p>
      <w:pPr>
        <w:pStyle w:val="3"/>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4.审计整改工作流程图</w:t>
      </w:r>
    </w:p>
    <w:p>
      <w:pPr>
        <w:pStyle w:val="3"/>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5.审计整改工作方案模板</w:t>
      </w:r>
    </w:p>
    <w:p>
      <w:pPr>
        <w:pStyle w:val="3"/>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6.审计整改报告模板</w:t>
      </w:r>
    </w:p>
    <w:p>
      <w:pPr>
        <w:pStyle w:val="3"/>
        <w:ind w:firstLine="0" w:firstLineChars="0"/>
        <w:rPr>
          <w:rFonts w:hint="default" w:ascii="Times New Roman" w:hAnsi="Times New Roman" w:eastAsia="方正小标宋简体" w:cs="Times New Roman"/>
          <w:sz w:val="44"/>
          <w:szCs w:val="44"/>
        </w:rPr>
        <w:sectPr>
          <w:footerReference r:id="rId3" w:type="default"/>
          <w:pgSz w:w="11906" w:h="16838"/>
          <w:pgMar w:top="1984" w:right="1446" w:bottom="1644" w:left="1446" w:header="851" w:footer="992" w:gutter="0"/>
          <w:pgNumType w:fmt="decimal"/>
          <w:cols w:space="720" w:num="1"/>
          <w:docGrid w:type="lines" w:linePitch="312" w:charSpace="0"/>
        </w:sectPr>
      </w:pPr>
    </w:p>
    <w:p>
      <w:pPr>
        <w:spacing w:line="594" w:lineRule="exact"/>
        <w:ind w:firstLine="643" w:firstLineChars="200"/>
        <w:rPr>
          <w:rFonts w:hint="eastAsia" w:ascii="方正黑体_GBK" w:hAnsi="方正黑体_GBK" w:eastAsia="方正黑体_GBK" w:cs="方正黑体_GBK"/>
          <w:sz w:val="44"/>
          <w:szCs w:val="44"/>
        </w:rPr>
      </w:pPr>
      <w:r>
        <w:rPr>
          <w:rFonts w:hint="eastAsia" w:ascii="方正黑体_GBK" w:hAnsi="方正黑体_GBK" w:eastAsia="方正黑体_GBK" w:cs="方正黑体_GBK"/>
          <w:b/>
          <w:bCs/>
          <w:szCs w:val="32"/>
        </w:rPr>
        <w:t xml:space="preserve">附件1 </w:t>
      </w:r>
      <w:r>
        <w:rPr>
          <w:rFonts w:hint="eastAsia" w:ascii="方正黑体_GBK" w:hAnsi="方正黑体_GBK" w:eastAsia="方正黑体_GBK" w:cs="方正黑体_GBK"/>
          <w:sz w:val="44"/>
          <w:szCs w:val="44"/>
        </w:rPr>
        <w:t xml:space="preserve">                </w:t>
      </w:r>
    </w:p>
    <w:p>
      <w:pPr>
        <w:spacing w:line="594" w:lineRule="exact"/>
        <w:ind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审计发现问题清单</w:t>
      </w:r>
    </w:p>
    <w:p>
      <w:pPr>
        <w:spacing w:line="594"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审计项目：</w:t>
      </w:r>
    </w:p>
    <w:tbl>
      <w:tblPr>
        <w:tblStyle w:val="8"/>
        <w:tblW w:w="14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6"/>
        <w:gridCol w:w="2109"/>
        <w:gridCol w:w="2788"/>
        <w:gridCol w:w="1889"/>
        <w:gridCol w:w="2873"/>
        <w:gridCol w:w="3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976"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序号</w:t>
            </w:r>
          </w:p>
        </w:tc>
        <w:tc>
          <w:tcPr>
            <w:tcW w:w="2109"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问题摘要</w:t>
            </w:r>
          </w:p>
        </w:tc>
        <w:tc>
          <w:tcPr>
            <w:tcW w:w="2788"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责任单位名称</w:t>
            </w:r>
          </w:p>
        </w:tc>
        <w:tc>
          <w:tcPr>
            <w:tcW w:w="1889"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涉及金额</w:t>
            </w:r>
          </w:p>
        </w:tc>
        <w:tc>
          <w:tcPr>
            <w:tcW w:w="2873"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法规依据</w:t>
            </w:r>
          </w:p>
        </w:tc>
        <w:tc>
          <w:tcPr>
            <w:tcW w:w="3405" w:type="dxa"/>
            <w:vAlign w:val="center"/>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处理意见或整改建议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1</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2</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3</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4</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5</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76" w:type="dxa"/>
          </w:tcPr>
          <w:p>
            <w:pPr>
              <w:spacing w:line="594" w:lineRule="exact"/>
              <w:jc w:val="center"/>
              <w:rPr>
                <w:rFonts w:hint="default" w:ascii="Times New Roman" w:hAnsi="Times New Roman" w:cs="Times New Roman"/>
                <w:kern w:val="0"/>
                <w:sz w:val="28"/>
                <w:szCs w:val="28"/>
              </w:rPr>
            </w:pPr>
            <w:r>
              <w:rPr>
                <w:rFonts w:hint="default" w:ascii="Times New Roman" w:hAnsi="Times New Roman" w:cs="Times New Roman"/>
                <w:kern w:val="0"/>
                <w:sz w:val="28"/>
                <w:szCs w:val="28"/>
              </w:rPr>
              <w:t>6</w:t>
            </w:r>
          </w:p>
        </w:tc>
        <w:tc>
          <w:tcPr>
            <w:tcW w:w="2109" w:type="dxa"/>
          </w:tcPr>
          <w:p>
            <w:pPr>
              <w:spacing w:line="594" w:lineRule="exact"/>
              <w:ind w:firstLine="560" w:firstLineChars="200"/>
              <w:jc w:val="center"/>
              <w:rPr>
                <w:rFonts w:hint="default" w:ascii="Times New Roman" w:hAnsi="Times New Roman" w:cs="Times New Roman"/>
                <w:kern w:val="0"/>
                <w:sz w:val="28"/>
                <w:szCs w:val="28"/>
              </w:rPr>
            </w:pPr>
          </w:p>
        </w:tc>
        <w:tc>
          <w:tcPr>
            <w:tcW w:w="2788" w:type="dxa"/>
          </w:tcPr>
          <w:p>
            <w:pPr>
              <w:spacing w:line="594" w:lineRule="exact"/>
              <w:ind w:firstLine="560" w:firstLineChars="200"/>
              <w:jc w:val="center"/>
              <w:rPr>
                <w:rFonts w:hint="default" w:ascii="Times New Roman" w:hAnsi="Times New Roman" w:cs="Times New Roman"/>
                <w:kern w:val="0"/>
                <w:sz w:val="28"/>
                <w:szCs w:val="28"/>
              </w:rPr>
            </w:pPr>
          </w:p>
        </w:tc>
        <w:tc>
          <w:tcPr>
            <w:tcW w:w="1889" w:type="dxa"/>
          </w:tcPr>
          <w:p>
            <w:pPr>
              <w:spacing w:line="594" w:lineRule="exact"/>
              <w:ind w:firstLine="560" w:firstLineChars="200"/>
              <w:jc w:val="center"/>
              <w:rPr>
                <w:rFonts w:hint="default" w:ascii="Times New Roman" w:hAnsi="Times New Roman" w:cs="Times New Roman"/>
                <w:kern w:val="0"/>
                <w:sz w:val="28"/>
                <w:szCs w:val="28"/>
              </w:rPr>
            </w:pPr>
          </w:p>
        </w:tc>
        <w:tc>
          <w:tcPr>
            <w:tcW w:w="2873" w:type="dxa"/>
          </w:tcPr>
          <w:p>
            <w:pPr>
              <w:spacing w:line="594" w:lineRule="exact"/>
              <w:ind w:firstLine="560" w:firstLineChars="200"/>
              <w:jc w:val="center"/>
              <w:rPr>
                <w:rFonts w:hint="default" w:ascii="Times New Roman" w:hAnsi="Times New Roman" w:cs="Times New Roman"/>
                <w:kern w:val="0"/>
                <w:sz w:val="28"/>
                <w:szCs w:val="28"/>
              </w:rPr>
            </w:pPr>
          </w:p>
        </w:tc>
        <w:tc>
          <w:tcPr>
            <w:tcW w:w="3405" w:type="dxa"/>
          </w:tcPr>
          <w:p>
            <w:pPr>
              <w:spacing w:line="594" w:lineRule="exact"/>
              <w:ind w:firstLine="560" w:firstLineChars="200"/>
              <w:jc w:val="center"/>
              <w:rPr>
                <w:rFonts w:hint="default" w:ascii="Times New Roman" w:hAnsi="Times New Roman" w:cs="Times New Roman"/>
                <w:kern w:val="0"/>
                <w:sz w:val="28"/>
                <w:szCs w:val="28"/>
              </w:rPr>
            </w:pPr>
          </w:p>
        </w:tc>
      </w:tr>
    </w:tbl>
    <w:p>
      <w:pPr>
        <w:pStyle w:val="3"/>
        <w:ind w:left="0" w:leftChars="0" w:firstLine="0" w:firstLineChars="0"/>
        <w:rPr>
          <w:rFonts w:hint="default" w:ascii="Times New Roman" w:hAnsi="Times New Roman" w:cs="Times New Roman"/>
        </w:rPr>
      </w:pPr>
    </w:p>
    <w:p>
      <w:pPr>
        <w:spacing w:line="540" w:lineRule="exact"/>
        <w:rPr>
          <w:rFonts w:hint="default" w:ascii="Times New Roman" w:hAnsi="Times New Roman" w:cs="Times New Roman"/>
          <w:sz w:val="44"/>
          <w:szCs w:val="44"/>
        </w:rPr>
      </w:pPr>
      <w:r>
        <w:rPr>
          <w:rFonts w:hint="eastAsia" w:ascii="方正黑体_GBK" w:hAnsi="方正黑体_GBK" w:eastAsia="方正黑体_GBK" w:cs="方正黑体_GBK"/>
          <w:b/>
          <w:bCs/>
          <w:szCs w:val="32"/>
        </w:rPr>
        <w:t>附件2</w:t>
      </w:r>
      <w:r>
        <w:rPr>
          <w:rFonts w:hint="default" w:ascii="Times New Roman" w:hAnsi="Times New Roman" w:eastAsia="仿宋_GB2312" w:cs="Times New Roman"/>
          <w:b/>
          <w:bCs/>
          <w:szCs w:val="32"/>
        </w:rPr>
        <w:t xml:space="preserve"> </w:t>
      </w:r>
      <w:r>
        <w:rPr>
          <w:rFonts w:hint="default" w:ascii="Times New Roman" w:hAnsi="Times New Roman" w:cs="Times New Roman"/>
          <w:sz w:val="44"/>
          <w:szCs w:val="44"/>
        </w:rPr>
        <w:t xml:space="preserve">              </w:t>
      </w:r>
    </w:p>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审计整改结果清单</w:t>
      </w:r>
    </w:p>
    <w:p>
      <w:pPr>
        <w:spacing w:before="100" w:beforeAutospacing="1" w:after="100" w:afterAutospacing="1" w:line="540" w:lineRule="exact"/>
        <w:jc w:val="left"/>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责任部门：                                             审计项目：                                            </w:t>
      </w:r>
    </w:p>
    <w:tbl>
      <w:tblPr>
        <w:tblStyle w:val="8"/>
        <w:tblW w:w="14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0"/>
        <w:gridCol w:w="1619"/>
        <w:gridCol w:w="1784"/>
        <w:gridCol w:w="1669"/>
        <w:gridCol w:w="2068"/>
        <w:gridCol w:w="909"/>
        <w:gridCol w:w="2268"/>
        <w:gridCol w:w="1842"/>
        <w:gridCol w:w="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990" w:type="dxa"/>
            <w:vMerge w:val="restart"/>
            <w:vAlign w:val="center"/>
          </w:tcPr>
          <w:p>
            <w:pPr>
              <w:snapToGrid w:val="0"/>
              <w:spacing w:line="36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问题序号</w:t>
            </w:r>
          </w:p>
        </w:tc>
        <w:tc>
          <w:tcPr>
            <w:tcW w:w="1619" w:type="dxa"/>
            <w:vMerge w:val="restart"/>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问题摘要</w:t>
            </w:r>
          </w:p>
        </w:tc>
        <w:tc>
          <w:tcPr>
            <w:tcW w:w="1784" w:type="dxa"/>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已整改</w:t>
            </w:r>
          </w:p>
        </w:tc>
        <w:tc>
          <w:tcPr>
            <w:tcW w:w="4646" w:type="dxa"/>
            <w:gridSpan w:val="3"/>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正在整改</w:t>
            </w:r>
          </w:p>
        </w:tc>
        <w:tc>
          <w:tcPr>
            <w:tcW w:w="5021" w:type="dxa"/>
            <w:gridSpan w:val="3"/>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尚未整改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990" w:type="dxa"/>
            <w:vMerge w:val="continue"/>
            <w:vAlign w:val="center"/>
          </w:tcPr>
          <w:p>
            <w:pPr>
              <w:spacing w:line="540" w:lineRule="exact"/>
              <w:jc w:val="center"/>
              <w:rPr>
                <w:rFonts w:hint="default" w:ascii="Times New Roman" w:hAnsi="Times New Roman" w:eastAsia="方正仿宋_GBK" w:cs="Times New Roman"/>
                <w:kern w:val="0"/>
                <w:szCs w:val="32"/>
              </w:rPr>
            </w:pPr>
          </w:p>
        </w:tc>
        <w:tc>
          <w:tcPr>
            <w:tcW w:w="1619" w:type="dxa"/>
            <w:vMerge w:val="continue"/>
            <w:vAlign w:val="center"/>
          </w:tcPr>
          <w:p>
            <w:pPr>
              <w:spacing w:line="540" w:lineRule="exact"/>
              <w:jc w:val="center"/>
              <w:rPr>
                <w:rFonts w:hint="default" w:ascii="Times New Roman" w:hAnsi="Times New Roman" w:eastAsia="方正仿宋_GBK" w:cs="Times New Roman"/>
                <w:kern w:val="0"/>
                <w:szCs w:val="32"/>
              </w:rPr>
            </w:pPr>
          </w:p>
        </w:tc>
        <w:tc>
          <w:tcPr>
            <w:tcW w:w="1784"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整改措施</w:t>
            </w:r>
          </w:p>
        </w:tc>
        <w:tc>
          <w:tcPr>
            <w:tcW w:w="1669"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已采取整改措施和进度</w:t>
            </w:r>
          </w:p>
        </w:tc>
        <w:tc>
          <w:tcPr>
            <w:tcW w:w="2068"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下一步措施</w:t>
            </w:r>
          </w:p>
        </w:tc>
        <w:tc>
          <w:tcPr>
            <w:tcW w:w="909"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完成时限</w:t>
            </w:r>
          </w:p>
        </w:tc>
        <w:tc>
          <w:tcPr>
            <w:tcW w:w="2268"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主要原因</w:t>
            </w:r>
          </w:p>
        </w:tc>
        <w:tc>
          <w:tcPr>
            <w:tcW w:w="1842"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整改</w:t>
            </w:r>
          </w:p>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措施</w:t>
            </w:r>
          </w:p>
        </w:tc>
        <w:tc>
          <w:tcPr>
            <w:tcW w:w="911" w:type="dxa"/>
            <w:vAlign w:val="center"/>
          </w:tcPr>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完成</w:t>
            </w:r>
          </w:p>
          <w:p>
            <w:pPr>
              <w:adjustRightInd w:val="0"/>
              <w:snapToGrid w:val="0"/>
              <w:spacing w:line="4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 w:val="24"/>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center"/>
              <w:rPr>
                <w:rFonts w:hint="default" w:ascii="Times New Roman" w:hAnsi="Times New Roman" w:eastAsia="仿宋_GB2312" w:cs="Times New Roman"/>
                <w:kern w:val="0"/>
                <w:szCs w:val="32"/>
              </w:rPr>
            </w:pPr>
          </w:p>
        </w:tc>
        <w:tc>
          <w:tcPr>
            <w:tcW w:w="909" w:type="dxa"/>
          </w:tcPr>
          <w:p>
            <w:pPr>
              <w:spacing w:line="540" w:lineRule="exact"/>
              <w:jc w:val="center"/>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 w:val="24"/>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left"/>
              <w:rPr>
                <w:rFonts w:hint="default" w:ascii="Times New Roman" w:hAnsi="Times New Roman" w:eastAsia="仿宋_GB2312" w:cs="Times New Roman"/>
                <w:kern w:val="0"/>
                <w:szCs w:val="32"/>
              </w:rPr>
            </w:pPr>
          </w:p>
        </w:tc>
        <w:tc>
          <w:tcPr>
            <w:tcW w:w="909" w:type="dxa"/>
          </w:tcPr>
          <w:p>
            <w:pPr>
              <w:spacing w:line="540" w:lineRule="exact"/>
              <w:jc w:val="left"/>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Cs w:val="32"/>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left"/>
              <w:rPr>
                <w:rFonts w:hint="default" w:ascii="Times New Roman" w:hAnsi="Times New Roman" w:eastAsia="仿宋_GB2312" w:cs="Times New Roman"/>
                <w:kern w:val="0"/>
                <w:szCs w:val="32"/>
              </w:rPr>
            </w:pPr>
          </w:p>
        </w:tc>
        <w:tc>
          <w:tcPr>
            <w:tcW w:w="909" w:type="dxa"/>
          </w:tcPr>
          <w:p>
            <w:pPr>
              <w:spacing w:line="540" w:lineRule="exact"/>
              <w:jc w:val="left"/>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Cs w:val="32"/>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left"/>
              <w:rPr>
                <w:rFonts w:hint="default" w:ascii="Times New Roman" w:hAnsi="Times New Roman" w:eastAsia="仿宋_GB2312" w:cs="Times New Roman"/>
                <w:kern w:val="0"/>
                <w:szCs w:val="32"/>
              </w:rPr>
            </w:pPr>
          </w:p>
        </w:tc>
        <w:tc>
          <w:tcPr>
            <w:tcW w:w="909" w:type="dxa"/>
          </w:tcPr>
          <w:p>
            <w:pPr>
              <w:spacing w:line="540" w:lineRule="exact"/>
              <w:jc w:val="left"/>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Cs w:val="32"/>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left"/>
              <w:rPr>
                <w:rFonts w:hint="default" w:ascii="Times New Roman" w:hAnsi="Times New Roman" w:eastAsia="仿宋_GB2312" w:cs="Times New Roman"/>
                <w:kern w:val="0"/>
                <w:szCs w:val="32"/>
              </w:rPr>
            </w:pPr>
          </w:p>
        </w:tc>
        <w:tc>
          <w:tcPr>
            <w:tcW w:w="909" w:type="dxa"/>
          </w:tcPr>
          <w:p>
            <w:pPr>
              <w:spacing w:line="540" w:lineRule="exact"/>
              <w:jc w:val="left"/>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990" w:type="dxa"/>
          </w:tcPr>
          <w:p>
            <w:pPr>
              <w:spacing w:line="540" w:lineRule="exact"/>
              <w:jc w:val="left"/>
              <w:rPr>
                <w:rFonts w:hint="default" w:ascii="Times New Roman" w:hAnsi="Times New Roman" w:eastAsia="仿宋_GB2312" w:cs="Times New Roman"/>
                <w:kern w:val="0"/>
                <w:szCs w:val="32"/>
              </w:rPr>
            </w:pPr>
          </w:p>
        </w:tc>
        <w:tc>
          <w:tcPr>
            <w:tcW w:w="1619" w:type="dxa"/>
          </w:tcPr>
          <w:p>
            <w:pPr>
              <w:spacing w:line="540" w:lineRule="exact"/>
              <w:jc w:val="left"/>
              <w:rPr>
                <w:rFonts w:hint="default" w:ascii="Times New Roman" w:hAnsi="Times New Roman" w:eastAsia="仿宋_GB2312" w:cs="Times New Roman"/>
                <w:kern w:val="0"/>
                <w:szCs w:val="32"/>
              </w:rPr>
            </w:pPr>
          </w:p>
        </w:tc>
        <w:tc>
          <w:tcPr>
            <w:tcW w:w="1784" w:type="dxa"/>
          </w:tcPr>
          <w:p>
            <w:pPr>
              <w:spacing w:line="540" w:lineRule="exact"/>
              <w:jc w:val="left"/>
              <w:rPr>
                <w:rFonts w:hint="default" w:ascii="Times New Roman" w:hAnsi="Times New Roman" w:eastAsia="仿宋_GB2312" w:cs="Times New Roman"/>
                <w:kern w:val="0"/>
                <w:szCs w:val="32"/>
              </w:rPr>
            </w:pPr>
          </w:p>
        </w:tc>
        <w:tc>
          <w:tcPr>
            <w:tcW w:w="1669" w:type="dxa"/>
          </w:tcPr>
          <w:p>
            <w:pPr>
              <w:spacing w:line="540" w:lineRule="exact"/>
              <w:jc w:val="left"/>
              <w:rPr>
                <w:rFonts w:hint="default" w:ascii="Times New Roman" w:hAnsi="Times New Roman" w:eastAsia="仿宋_GB2312" w:cs="Times New Roman"/>
                <w:kern w:val="0"/>
                <w:szCs w:val="32"/>
              </w:rPr>
            </w:pPr>
          </w:p>
        </w:tc>
        <w:tc>
          <w:tcPr>
            <w:tcW w:w="2068" w:type="dxa"/>
          </w:tcPr>
          <w:p>
            <w:pPr>
              <w:spacing w:line="540" w:lineRule="exact"/>
              <w:jc w:val="left"/>
              <w:rPr>
                <w:rFonts w:hint="default" w:ascii="Times New Roman" w:hAnsi="Times New Roman" w:eastAsia="仿宋_GB2312" w:cs="Times New Roman"/>
                <w:kern w:val="0"/>
                <w:szCs w:val="32"/>
              </w:rPr>
            </w:pPr>
          </w:p>
        </w:tc>
        <w:tc>
          <w:tcPr>
            <w:tcW w:w="909" w:type="dxa"/>
          </w:tcPr>
          <w:p>
            <w:pPr>
              <w:spacing w:line="540" w:lineRule="exact"/>
              <w:jc w:val="left"/>
              <w:rPr>
                <w:rFonts w:hint="default" w:ascii="Times New Roman" w:hAnsi="Times New Roman" w:eastAsia="仿宋_GB2312" w:cs="Times New Roman"/>
                <w:kern w:val="0"/>
                <w:szCs w:val="32"/>
              </w:rPr>
            </w:pPr>
          </w:p>
        </w:tc>
        <w:tc>
          <w:tcPr>
            <w:tcW w:w="2268" w:type="dxa"/>
          </w:tcPr>
          <w:p>
            <w:pPr>
              <w:spacing w:line="540" w:lineRule="exact"/>
              <w:jc w:val="left"/>
              <w:rPr>
                <w:rFonts w:hint="default" w:ascii="Times New Roman" w:hAnsi="Times New Roman" w:eastAsia="仿宋_GB2312" w:cs="Times New Roman"/>
                <w:kern w:val="0"/>
                <w:szCs w:val="32"/>
              </w:rPr>
            </w:pPr>
          </w:p>
        </w:tc>
        <w:tc>
          <w:tcPr>
            <w:tcW w:w="1842" w:type="dxa"/>
          </w:tcPr>
          <w:p>
            <w:pPr>
              <w:spacing w:line="540" w:lineRule="exact"/>
              <w:jc w:val="left"/>
              <w:rPr>
                <w:rFonts w:hint="default" w:ascii="Times New Roman" w:hAnsi="Times New Roman" w:eastAsia="仿宋_GB2312" w:cs="Times New Roman"/>
                <w:kern w:val="0"/>
                <w:szCs w:val="32"/>
              </w:rPr>
            </w:pPr>
          </w:p>
        </w:tc>
        <w:tc>
          <w:tcPr>
            <w:tcW w:w="911" w:type="dxa"/>
          </w:tcPr>
          <w:p>
            <w:pPr>
              <w:spacing w:line="540" w:lineRule="exact"/>
              <w:jc w:val="left"/>
              <w:rPr>
                <w:rFonts w:hint="default" w:ascii="Times New Roman" w:hAnsi="Times New Roman" w:eastAsia="仿宋_GB2312" w:cs="Times New Roman"/>
                <w:kern w:val="0"/>
                <w:szCs w:val="32"/>
              </w:rPr>
            </w:pPr>
          </w:p>
        </w:tc>
      </w:tr>
    </w:tbl>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40" w:lineRule="exact"/>
        <w:jc w:val="left"/>
        <w:textAlignment w:val="auto"/>
        <w:rPr>
          <w:rFonts w:hint="eastAsia" w:ascii="方正黑体_GBK" w:hAnsi="方正黑体_GBK" w:eastAsia="方正黑体_GBK" w:cs="方正黑体_GBK"/>
          <w:b/>
          <w:bCs/>
          <w:szCs w:val="32"/>
        </w:rPr>
      </w:pPr>
      <w:r>
        <w:rPr>
          <w:rFonts w:hint="eastAsia" w:ascii="方正黑体_GBK" w:hAnsi="方正黑体_GBK" w:eastAsia="方正黑体_GBK" w:cs="方正黑体_GBK"/>
          <w:b/>
          <w:bCs/>
          <w:szCs w:val="32"/>
        </w:rPr>
        <w:t xml:space="preserve">附件3                </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审计整改销号清单</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tLeast"/>
        <w:jc w:val="lef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审计项目：</w:t>
      </w:r>
    </w:p>
    <w:tbl>
      <w:tblPr>
        <w:tblStyle w:val="8"/>
        <w:tblW w:w="14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612"/>
        <w:gridCol w:w="2638"/>
        <w:gridCol w:w="2837"/>
        <w:gridCol w:w="2913"/>
        <w:gridCol w:w="1525"/>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top w:val="single" w:color="auto" w:sz="4" w:space="0"/>
              <w:right w:val="single" w:color="auto" w:sz="4" w:space="0"/>
            </w:tcBorders>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序号</w:t>
            </w:r>
          </w:p>
        </w:tc>
        <w:tc>
          <w:tcPr>
            <w:tcW w:w="1612" w:type="dxa"/>
            <w:tcBorders>
              <w:top w:val="single" w:color="auto" w:sz="4" w:space="0"/>
              <w:left w:val="single" w:color="auto" w:sz="4" w:space="0"/>
            </w:tcBorders>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问题摘要</w:t>
            </w:r>
          </w:p>
        </w:tc>
        <w:tc>
          <w:tcPr>
            <w:tcW w:w="2638" w:type="dxa"/>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未完成整改原因</w:t>
            </w:r>
          </w:p>
        </w:tc>
        <w:tc>
          <w:tcPr>
            <w:tcW w:w="2837" w:type="dxa"/>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责任部门或责任人</w:t>
            </w:r>
          </w:p>
        </w:tc>
        <w:tc>
          <w:tcPr>
            <w:tcW w:w="2913" w:type="dxa"/>
            <w:vAlign w:val="center"/>
          </w:tcPr>
          <w:p>
            <w:pPr>
              <w:spacing w:line="540" w:lineRule="exact"/>
              <w:jc w:val="center"/>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整改进度情况</w:t>
            </w:r>
          </w:p>
        </w:tc>
        <w:tc>
          <w:tcPr>
            <w:tcW w:w="1525" w:type="dxa"/>
            <w:vAlign w:val="center"/>
          </w:tcPr>
          <w:p>
            <w:pPr>
              <w:spacing w:line="540" w:lineRule="exact"/>
              <w:jc w:val="center"/>
              <w:rPr>
                <w:rFonts w:hint="default" w:ascii="Times New Roman" w:hAnsi="Times New Roman" w:eastAsia="方正仿宋_GBK" w:cs="Times New Roman"/>
                <w:bCs/>
                <w:kern w:val="0"/>
                <w:szCs w:val="32"/>
              </w:rPr>
            </w:pPr>
            <w:r>
              <w:rPr>
                <w:rFonts w:hint="default" w:ascii="Times New Roman" w:hAnsi="Times New Roman" w:eastAsia="方正仿宋_GBK" w:cs="Times New Roman"/>
                <w:bCs/>
                <w:kern w:val="0"/>
                <w:szCs w:val="32"/>
              </w:rPr>
              <w:t>是否销号</w:t>
            </w:r>
          </w:p>
        </w:tc>
        <w:tc>
          <w:tcPr>
            <w:tcW w:w="1860" w:type="dxa"/>
            <w:vAlign w:val="center"/>
          </w:tcPr>
          <w:p>
            <w:pPr>
              <w:spacing w:line="540" w:lineRule="exact"/>
              <w:jc w:val="center"/>
              <w:rPr>
                <w:rFonts w:hint="default" w:ascii="Times New Roman" w:hAnsi="Times New Roman" w:eastAsia="方正仿宋_GBK" w:cs="Times New Roman"/>
                <w:bCs/>
                <w:kern w:val="0"/>
                <w:szCs w:val="32"/>
              </w:rPr>
            </w:pPr>
            <w:r>
              <w:rPr>
                <w:rFonts w:hint="default" w:ascii="Times New Roman" w:hAnsi="Times New Roman" w:eastAsia="方正仿宋_GBK" w:cs="Times New Roman"/>
                <w:bCs/>
                <w:kern w:val="0"/>
                <w:szCs w:val="32"/>
              </w:rPr>
              <w:t>销号时间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vAlign w:val="center"/>
          </w:tcPr>
          <w:p>
            <w:pPr>
              <w:spacing w:line="540" w:lineRule="exact"/>
              <w:jc w:val="center"/>
              <w:rPr>
                <w:rFonts w:hint="default" w:ascii="Times New Roman" w:hAnsi="Times New Roman" w:eastAsia="方正仿宋_GBK" w:cs="Times New Roman"/>
                <w:b/>
                <w:kern w:val="0"/>
                <w:szCs w:val="32"/>
              </w:rPr>
            </w:pPr>
          </w:p>
        </w:tc>
        <w:tc>
          <w:tcPr>
            <w:tcW w:w="1612" w:type="dxa"/>
            <w:tcBorders>
              <w:left w:val="single" w:color="auto" w:sz="4" w:space="0"/>
            </w:tcBorders>
            <w:vAlign w:val="center"/>
          </w:tcPr>
          <w:p>
            <w:pPr>
              <w:spacing w:line="540" w:lineRule="exact"/>
              <w:jc w:val="center"/>
              <w:rPr>
                <w:rFonts w:hint="default" w:ascii="Times New Roman" w:hAnsi="Times New Roman" w:eastAsia="方正仿宋_GBK" w:cs="Times New Roman"/>
                <w:b/>
                <w:kern w:val="0"/>
                <w:szCs w:val="32"/>
              </w:rPr>
            </w:pPr>
          </w:p>
        </w:tc>
        <w:tc>
          <w:tcPr>
            <w:tcW w:w="2638" w:type="dxa"/>
            <w:vAlign w:val="center"/>
          </w:tcPr>
          <w:p>
            <w:pPr>
              <w:spacing w:line="540" w:lineRule="exact"/>
              <w:jc w:val="center"/>
              <w:rPr>
                <w:rFonts w:hint="default" w:ascii="Times New Roman" w:hAnsi="Times New Roman" w:eastAsia="方正仿宋_GBK" w:cs="Times New Roman"/>
                <w:b/>
                <w:kern w:val="0"/>
                <w:szCs w:val="32"/>
              </w:rPr>
            </w:pPr>
          </w:p>
        </w:tc>
        <w:tc>
          <w:tcPr>
            <w:tcW w:w="2837" w:type="dxa"/>
            <w:vAlign w:val="center"/>
          </w:tcPr>
          <w:p>
            <w:pPr>
              <w:spacing w:line="540" w:lineRule="exact"/>
              <w:jc w:val="center"/>
              <w:rPr>
                <w:rFonts w:hint="default" w:ascii="Times New Roman" w:hAnsi="Times New Roman" w:eastAsia="方正仿宋_GBK" w:cs="Times New Roman"/>
                <w:b/>
                <w:kern w:val="0"/>
                <w:szCs w:val="32"/>
              </w:rPr>
            </w:pPr>
          </w:p>
        </w:tc>
        <w:tc>
          <w:tcPr>
            <w:tcW w:w="2913" w:type="dxa"/>
            <w:vAlign w:val="center"/>
          </w:tcPr>
          <w:p>
            <w:pPr>
              <w:spacing w:line="540" w:lineRule="exact"/>
              <w:jc w:val="center"/>
              <w:rPr>
                <w:rFonts w:hint="default" w:ascii="Times New Roman" w:hAnsi="Times New Roman" w:eastAsia="方正仿宋_GBK" w:cs="Times New Roman"/>
                <w:b/>
                <w:kern w:val="0"/>
                <w:szCs w:val="32"/>
              </w:rPr>
            </w:pPr>
          </w:p>
        </w:tc>
        <w:tc>
          <w:tcPr>
            <w:tcW w:w="1525" w:type="dxa"/>
            <w:vAlign w:val="center"/>
          </w:tcPr>
          <w:p>
            <w:pPr>
              <w:spacing w:line="540" w:lineRule="exact"/>
              <w:jc w:val="center"/>
              <w:rPr>
                <w:rFonts w:hint="default" w:ascii="Times New Roman" w:hAnsi="Times New Roman" w:eastAsia="方正仿宋_GBK" w:cs="Times New Roman"/>
                <w:b/>
                <w:kern w:val="0"/>
                <w:szCs w:val="32"/>
              </w:rPr>
            </w:pPr>
          </w:p>
        </w:tc>
        <w:tc>
          <w:tcPr>
            <w:tcW w:w="1860" w:type="dxa"/>
            <w:vAlign w:val="center"/>
          </w:tcPr>
          <w:p>
            <w:pPr>
              <w:spacing w:line="540" w:lineRule="exact"/>
              <w:jc w:val="center"/>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0" w:type="dxa"/>
            <w:tcBorders>
              <w:right w:val="single" w:color="auto" w:sz="4" w:space="0"/>
            </w:tcBorders>
          </w:tcPr>
          <w:p>
            <w:pPr>
              <w:spacing w:line="540" w:lineRule="exact"/>
              <w:rPr>
                <w:rFonts w:hint="default" w:ascii="Times New Roman" w:hAnsi="Times New Roman" w:eastAsia="方正仿宋_GBK" w:cs="Times New Roman"/>
                <w:b/>
                <w:kern w:val="0"/>
                <w:szCs w:val="32"/>
              </w:rPr>
            </w:pPr>
          </w:p>
        </w:tc>
        <w:tc>
          <w:tcPr>
            <w:tcW w:w="1612" w:type="dxa"/>
            <w:tcBorders>
              <w:left w:val="single" w:color="auto" w:sz="4" w:space="0"/>
            </w:tcBorders>
          </w:tcPr>
          <w:p>
            <w:pPr>
              <w:spacing w:line="540" w:lineRule="exact"/>
              <w:rPr>
                <w:rFonts w:hint="default" w:ascii="Times New Roman" w:hAnsi="Times New Roman" w:eastAsia="方正仿宋_GBK" w:cs="Times New Roman"/>
                <w:b/>
                <w:kern w:val="0"/>
                <w:szCs w:val="32"/>
              </w:rPr>
            </w:pPr>
          </w:p>
        </w:tc>
        <w:tc>
          <w:tcPr>
            <w:tcW w:w="2638" w:type="dxa"/>
          </w:tcPr>
          <w:p>
            <w:pPr>
              <w:spacing w:line="540" w:lineRule="exact"/>
              <w:rPr>
                <w:rFonts w:hint="default" w:ascii="Times New Roman" w:hAnsi="Times New Roman" w:eastAsia="方正仿宋_GBK" w:cs="Times New Roman"/>
                <w:b/>
                <w:kern w:val="0"/>
                <w:szCs w:val="32"/>
              </w:rPr>
            </w:pPr>
          </w:p>
        </w:tc>
        <w:tc>
          <w:tcPr>
            <w:tcW w:w="2837" w:type="dxa"/>
          </w:tcPr>
          <w:p>
            <w:pPr>
              <w:spacing w:line="540" w:lineRule="exact"/>
              <w:rPr>
                <w:rFonts w:hint="default" w:ascii="Times New Roman" w:hAnsi="Times New Roman" w:eastAsia="方正仿宋_GBK" w:cs="Times New Roman"/>
                <w:b/>
                <w:kern w:val="0"/>
                <w:szCs w:val="32"/>
              </w:rPr>
            </w:pPr>
          </w:p>
        </w:tc>
        <w:tc>
          <w:tcPr>
            <w:tcW w:w="2913" w:type="dxa"/>
          </w:tcPr>
          <w:p>
            <w:pPr>
              <w:spacing w:line="540" w:lineRule="exact"/>
              <w:rPr>
                <w:rFonts w:hint="default" w:ascii="Times New Roman" w:hAnsi="Times New Roman" w:eastAsia="方正仿宋_GBK" w:cs="Times New Roman"/>
                <w:b/>
                <w:kern w:val="0"/>
                <w:szCs w:val="32"/>
              </w:rPr>
            </w:pPr>
          </w:p>
        </w:tc>
        <w:tc>
          <w:tcPr>
            <w:tcW w:w="1525" w:type="dxa"/>
          </w:tcPr>
          <w:p>
            <w:pPr>
              <w:spacing w:line="540" w:lineRule="exact"/>
              <w:rPr>
                <w:rFonts w:hint="default" w:ascii="Times New Roman" w:hAnsi="Times New Roman" w:eastAsia="方正仿宋_GBK" w:cs="Times New Roman"/>
                <w:b/>
                <w:kern w:val="0"/>
                <w:szCs w:val="32"/>
              </w:rPr>
            </w:pPr>
          </w:p>
        </w:tc>
        <w:tc>
          <w:tcPr>
            <w:tcW w:w="1860" w:type="dxa"/>
          </w:tcPr>
          <w:p>
            <w:pPr>
              <w:spacing w:line="540" w:lineRule="exact"/>
              <w:rPr>
                <w:rFonts w:hint="default" w:ascii="Times New Roman" w:hAnsi="Times New Roman" w:eastAsia="方正仿宋_GBK" w:cs="Times New Roman"/>
                <w:b/>
                <w:kern w:val="0"/>
                <w:szCs w:val="32"/>
              </w:rPr>
            </w:pPr>
          </w:p>
        </w:tc>
      </w:tr>
    </w:tbl>
    <w:p>
      <w:pPr>
        <w:pStyle w:val="3"/>
        <w:ind w:firstLine="0" w:firstLineChars="0"/>
        <w:rPr>
          <w:rFonts w:hint="default" w:ascii="Times New Roman" w:hAnsi="Times New Roman" w:eastAsia="方正小标宋简体" w:cs="Times New Roman"/>
          <w:sz w:val="44"/>
          <w:szCs w:val="44"/>
        </w:rPr>
        <w:sectPr>
          <w:pgSz w:w="16838" w:h="11906" w:orient="landscape"/>
          <w:pgMar w:top="1800" w:right="1440" w:bottom="1800" w:left="1440" w:header="851" w:footer="992" w:gutter="0"/>
          <w:pgNumType w:fmt="decimal"/>
          <w:cols w:space="720" w:num="1"/>
          <w:docGrid w:type="lines" w:linePitch="312" w:charSpace="0"/>
        </w:sectPr>
      </w:pPr>
    </w:p>
    <w:p>
      <w:pPr>
        <w:pStyle w:val="3"/>
        <w:ind w:firstLine="0" w:firstLineChars="0"/>
        <w:rPr>
          <w:rFonts w:hint="eastAsia" w:ascii="方正黑体_GBK" w:hAnsi="方正黑体_GBK" w:eastAsia="方正黑体_GBK" w:cs="方正黑体_GBK"/>
          <w:sz w:val="44"/>
          <w:szCs w:val="44"/>
        </w:rPr>
      </w:pPr>
      <w:r>
        <w:rPr>
          <w:rFonts w:hint="eastAsia" w:ascii="方正黑体_GBK" w:hAnsi="方正黑体_GBK" w:eastAsia="方正黑体_GBK" w:cs="方正黑体_GBK"/>
          <w:b/>
          <w:bCs/>
          <w:sz w:val="32"/>
          <w:szCs w:val="32"/>
        </w:rPr>
        <w:t xml:space="preserve">附件4 </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审计整改工作流程图</w:t>
      </w:r>
    </w:p>
    <w:p>
      <w:pPr>
        <w:rPr>
          <w:rFonts w:hint="default" w:ascii="Times New Roman" w:hAnsi="Times New Roman" w:cs="Times New Roman"/>
        </w:rPr>
      </w:pPr>
      <w:r>
        <w:rPr>
          <w:rFonts w:hint="default" w:ascii="Times New Roman" w:hAnsi="Times New Roman" w:cs="Times New Roman"/>
          <w:sz w:val="21"/>
        </w:rPr>
        <mc:AlternateContent>
          <mc:Choice Requires="wpg">
            <w:drawing>
              <wp:anchor distT="0" distB="0" distL="114300" distR="114300" simplePos="0" relativeHeight="251660288" behindDoc="0" locked="0" layoutInCell="1" allowOverlap="1">
                <wp:simplePos x="0" y="0"/>
                <wp:positionH relativeFrom="column">
                  <wp:posOffset>1464310</wp:posOffset>
                </wp:positionH>
                <wp:positionV relativeFrom="paragraph">
                  <wp:posOffset>127635</wp:posOffset>
                </wp:positionV>
                <wp:extent cx="3129915" cy="6182995"/>
                <wp:effectExtent l="5080" t="4445" r="0" b="22860"/>
                <wp:wrapNone/>
                <wp:docPr id="19" name="组合 19"/>
                <wp:cNvGraphicFramePr/>
                <a:graphic xmlns:a="http://schemas.openxmlformats.org/drawingml/2006/main">
                  <a:graphicData uri="http://schemas.microsoft.com/office/word/2010/wordprocessingGroup">
                    <wpg:wgp>
                      <wpg:cNvGrpSpPr/>
                      <wpg:grpSpPr>
                        <a:xfrm>
                          <a:off x="0" y="0"/>
                          <a:ext cx="3129915" cy="6182995"/>
                          <a:chOff x="9048" y="2836"/>
                          <a:chExt cx="4929" cy="9737"/>
                        </a:xfrm>
                      </wpg:grpSpPr>
                      <wps:wsp>
                        <wps:cNvPr id="2" name="文本框 2"/>
                        <wps:cNvSpPr txBox="1"/>
                        <wps:spPr>
                          <a:xfrm>
                            <a:off x="9061" y="2836"/>
                            <a:ext cx="3679" cy="1085"/>
                          </a:xfrm>
                          <a:prstGeom prst="rect">
                            <a:avLst/>
                          </a:prstGeom>
                          <a:noFill/>
                          <a:ln w="6350">
                            <a:solidFill>
                              <a:prstClr val="black"/>
                            </a:solidFill>
                          </a:ln>
                        </wps:spPr>
                        <wps:txbx>
                          <w:txbxContent>
                            <w:p>
                              <w:pPr>
                                <w:jc w:val="center"/>
                                <w:rPr>
                                  <w:sz w:val="21"/>
                                  <w:szCs w:val="18"/>
                                </w:rPr>
                              </w:pPr>
                              <w:r>
                                <w:rPr>
                                  <w:rFonts w:hint="eastAsia"/>
                                  <w:sz w:val="21"/>
                                  <w:szCs w:val="18"/>
                                </w:rPr>
                                <w:t>审计项目结束后，审计处向被审计部门下达审计报告、审计整改通知书和《发现问题整改清单》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箭头连接符 3"/>
                        <wps:cNvCnPr>
                          <a:stCxn id="2" idx="2"/>
                        </wps:cNvCnPr>
                        <wps:spPr>
                          <a:xfrm flipH="1">
                            <a:off x="10895" y="3921"/>
                            <a:ext cx="6" cy="548"/>
                          </a:xfrm>
                          <a:prstGeom prst="straightConnector1">
                            <a:avLst/>
                          </a:prstGeom>
                          <a:noFill/>
                          <a:ln w="6350" cap="flat" cmpd="sng" algn="ctr">
                            <a:solidFill>
                              <a:srgbClr val="000000"/>
                            </a:solidFill>
                            <a:prstDash val="solid"/>
                            <a:miter lim="800000"/>
                            <a:headEnd type="none"/>
                            <a:tailEnd type="triangle" w="med" len="med"/>
                          </a:ln>
                        </wps:spPr>
                        <wps:bodyPr/>
                      </wps:wsp>
                      <wps:wsp>
                        <wps:cNvPr id="4" name="文本框 4"/>
                        <wps:cNvSpPr txBox="1"/>
                        <wps:spPr>
                          <a:xfrm>
                            <a:off x="9072" y="4496"/>
                            <a:ext cx="3679" cy="1085"/>
                          </a:xfrm>
                          <a:prstGeom prst="rect">
                            <a:avLst/>
                          </a:prstGeom>
                          <a:noFill/>
                          <a:ln w="6350">
                            <a:solidFill>
                              <a:prstClr val="black"/>
                            </a:solidFill>
                          </a:ln>
                        </wps:spPr>
                        <wps:txbx>
                          <w:txbxContent>
                            <w:p>
                              <w:pPr>
                                <w:jc w:val="center"/>
                                <w:rPr>
                                  <w:sz w:val="20"/>
                                  <w:szCs w:val="16"/>
                                </w:rPr>
                              </w:pPr>
                              <w:r>
                                <w:rPr>
                                  <w:rFonts w:hint="eastAsia"/>
                                  <w:sz w:val="20"/>
                                  <w:szCs w:val="16"/>
                                </w:rPr>
                                <w:t>被审计部门确定审计整改的组织形式、工作机制、实施方案等，强化审计整改工作落实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直接箭头连接符 5"/>
                        <wps:cNvCnPr/>
                        <wps:spPr>
                          <a:xfrm flipH="1">
                            <a:off x="10915" y="5581"/>
                            <a:ext cx="6" cy="548"/>
                          </a:xfrm>
                          <a:prstGeom prst="straightConnector1">
                            <a:avLst/>
                          </a:prstGeom>
                          <a:noFill/>
                          <a:ln w="6350" cap="flat" cmpd="sng" algn="ctr">
                            <a:solidFill>
                              <a:srgbClr val="000000"/>
                            </a:solidFill>
                            <a:prstDash val="solid"/>
                            <a:miter lim="800000"/>
                            <a:headEnd type="none"/>
                            <a:tailEnd type="triangle" w="med" len="med"/>
                          </a:ln>
                        </wps:spPr>
                        <wps:bodyPr/>
                      </wps:wsp>
                      <wps:wsp>
                        <wps:cNvPr id="6" name="文本框 6"/>
                        <wps:cNvSpPr txBox="1"/>
                        <wps:spPr>
                          <a:xfrm>
                            <a:off x="9073" y="6131"/>
                            <a:ext cx="3679" cy="1085"/>
                          </a:xfrm>
                          <a:prstGeom prst="rect">
                            <a:avLst/>
                          </a:prstGeom>
                          <a:noFill/>
                          <a:ln w="6350">
                            <a:solidFill>
                              <a:prstClr val="black"/>
                            </a:solidFill>
                          </a:ln>
                        </wps:spPr>
                        <wps:txbx>
                          <w:txbxContent>
                            <w:p>
                              <w:pPr>
                                <w:jc w:val="center"/>
                                <w:rPr>
                                  <w:rFonts w:ascii="宋体" w:hAnsi="宋体" w:cs="宋体"/>
                                  <w:sz w:val="21"/>
                                  <w:szCs w:val="21"/>
                                </w:rPr>
                              </w:pPr>
                              <w:r>
                                <w:rPr>
                                  <w:rFonts w:hint="eastAsia" w:ascii="宋体" w:hAnsi="宋体" w:cs="宋体"/>
                                  <w:sz w:val="21"/>
                                  <w:szCs w:val="21"/>
                                </w:rPr>
                                <w:t>被审计部门在规定期限内进行整改并提交书面整改结果报告、佐证材料及《审计整改结果清单》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a:xfrm flipH="1">
                            <a:off x="10873" y="7224"/>
                            <a:ext cx="6" cy="548"/>
                          </a:xfrm>
                          <a:prstGeom prst="straightConnector1">
                            <a:avLst/>
                          </a:prstGeom>
                          <a:noFill/>
                          <a:ln w="6350" cap="flat" cmpd="sng" algn="ctr">
                            <a:solidFill>
                              <a:srgbClr val="000000"/>
                            </a:solidFill>
                            <a:prstDash val="solid"/>
                            <a:miter lim="800000"/>
                            <a:headEnd type="none"/>
                            <a:tailEnd type="triangle" w="med" len="med"/>
                          </a:ln>
                        </wps:spPr>
                        <wps:bodyPr/>
                      </wps:wsp>
                      <wpg:grpSp>
                        <wpg:cNvPr id="10" name="组合 10"/>
                        <wpg:cNvGrpSpPr/>
                        <wpg:grpSpPr>
                          <a:xfrm>
                            <a:off x="9580" y="7782"/>
                            <a:ext cx="2630" cy="1481"/>
                            <a:chOff x="5761" y="7782"/>
                            <a:chExt cx="2630" cy="1481"/>
                          </a:xfrm>
                        </wpg:grpSpPr>
                        <wps:wsp>
                          <wps:cNvPr id="8" name="流程图: 决策 8"/>
                          <wps:cNvSpPr/>
                          <wps:spPr>
                            <a:xfrm>
                              <a:off x="5761" y="7782"/>
                              <a:ext cx="2630" cy="1481"/>
                            </a:xfrm>
                            <a:prstGeom prst="flowChartDecision">
                              <a:avLst/>
                            </a:prstGeom>
                            <a:noFill/>
                            <a:ln w="635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6335" y="8142"/>
                              <a:ext cx="1419" cy="830"/>
                            </a:xfrm>
                            <a:prstGeom prst="rect">
                              <a:avLst/>
                            </a:prstGeom>
                            <a:noFill/>
                            <a:ln w="6350">
                              <a:noFill/>
                            </a:ln>
                          </wps:spPr>
                          <wps:txbx>
                            <w:txbxContent>
                              <w:p>
                                <w:pPr>
                                  <w:jc w:val="center"/>
                                  <w:rPr>
                                    <w:sz w:val="20"/>
                                    <w:szCs w:val="16"/>
                                  </w:rPr>
                                </w:pPr>
                                <w:r>
                                  <w:rPr>
                                    <w:rFonts w:hint="eastAsia"/>
                                    <w:sz w:val="20"/>
                                    <w:szCs w:val="16"/>
                                  </w:rPr>
                                  <w:t>审计整改</w:t>
                                </w:r>
                              </w:p>
                              <w:p>
                                <w:pPr>
                                  <w:jc w:val="center"/>
                                  <w:rPr>
                                    <w:sz w:val="20"/>
                                    <w:szCs w:val="16"/>
                                  </w:rPr>
                                </w:pPr>
                                <w:r>
                                  <w:rPr>
                                    <w:rFonts w:hint="eastAsia"/>
                                    <w:sz w:val="20"/>
                                    <w:szCs w:val="16"/>
                                  </w:rPr>
                                  <w:t>跟踪检查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 name="直接箭头连接符 11"/>
                        <wps:cNvCnPr/>
                        <wps:spPr>
                          <a:xfrm flipH="1">
                            <a:off x="10884" y="9255"/>
                            <a:ext cx="6" cy="548"/>
                          </a:xfrm>
                          <a:prstGeom prst="straightConnector1">
                            <a:avLst/>
                          </a:prstGeom>
                          <a:noFill/>
                          <a:ln w="6350" cap="flat" cmpd="sng" algn="ctr">
                            <a:solidFill>
                              <a:srgbClr val="000000"/>
                            </a:solidFill>
                            <a:prstDash val="solid"/>
                            <a:miter lim="800000"/>
                            <a:headEnd type="none"/>
                            <a:tailEnd type="triangle" w="med" len="med"/>
                          </a:ln>
                        </wps:spPr>
                        <wps:bodyPr/>
                      </wps:wsp>
                      <wps:wsp>
                        <wps:cNvPr id="12" name="文本框 12"/>
                        <wps:cNvSpPr txBox="1"/>
                        <wps:spPr>
                          <a:xfrm>
                            <a:off x="9048" y="9818"/>
                            <a:ext cx="3679" cy="1085"/>
                          </a:xfrm>
                          <a:prstGeom prst="rect">
                            <a:avLst/>
                          </a:prstGeom>
                          <a:noFill/>
                          <a:ln w="6350">
                            <a:solidFill>
                              <a:prstClr val="black"/>
                            </a:solidFill>
                          </a:ln>
                        </wps:spPr>
                        <wps:txbx>
                          <w:txbxContent>
                            <w:p>
                              <w:pPr>
                                <w:jc w:val="center"/>
                                <w:rPr>
                                  <w:rFonts w:ascii="宋体" w:hAnsi="宋体" w:cs="宋体"/>
                                  <w:sz w:val="21"/>
                                  <w:szCs w:val="21"/>
                                </w:rPr>
                              </w:pPr>
                              <w:r>
                                <w:rPr>
                                  <w:rFonts w:hint="eastAsia" w:ascii="宋体" w:hAnsi="宋体" w:cs="宋体"/>
                                  <w:sz w:val="21"/>
                                  <w:szCs w:val="21"/>
                                </w:rPr>
                                <w:t>审计处检查整改结果，依据报送材料进行对账销号，填写《审计整改销号清单》</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5" name="组合 15"/>
                        <wpg:cNvGrpSpPr/>
                        <wpg:grpSpPr>
                          <a:xfrm>
                            <a:off x="12210" y="6674"/>
                            <a:ext cx="1767" cy="1950"/>
                            <a:chOff x="8391" y="6674"/>
                            <a:chExt cx="1767" cy="1950"/>
                          </a:xfrm>
                        </wpg:grpSpPr>
                        <wps:wsp>
                          <wps:cNvPr id="13" name="肘形连接符 13"/>
                          <wps:cNvCnPr/>
                          <wps:spPr>
                            <a:xfrm flipV="1">
                              <a:off x="8391" y="6674"/>
                              <a:ext cx="542" cy="1849"/>
                            </a:xfrm>
                            <a:prstGeom prst="bentConnector3">
                              <a:avLst>
                                <a:gd name="adj1" fmla="val 237638"/>
                              </a:avLst>
                            </a:prstGeom>
                            <a:noFill/>
                            <a:ln w="6350" cap="flat" cmpd="sng" algn="ctr">
                              <a:solidFill>
                                <a:srgbClr val="000000"/>
                              </a:solidFill>
                              <a:prstDash val="solid"/>
                              <a:miter lim="800000"/>
                              <a:headEnd type="none"/>
                              <a:tailEnd type="triangle" w="med" len="med"/>
                            </a:ln>
                          </wps:spPr>
                          <wps:bodyPr/>
                        </wps:wsp>
                        <wps:wsp>
                          <wps:cNvPr id="14" name="文本框 14"/>
                          <wps:cNvSpPr txBox="1"/>
                          <wps:spPr>
                            <a:xfrm>
                              <a:off x="9406" y="7046"/>
                              <a:ext cx="752" cy="1579"/>
                            </a:xfrm>
                            <a:prstGeom prst="rect">
                              <a:avLst/>
                            </a:prstGeom>
                            <a:noFill/>
                            <a:ln w="6350">
                              <a:noFill/>
                            </a:ln>
                          </wps:spPr>
                          <wps:txbx>
                            <w:txbxContent>
                              <w:p>
                                <w:pPr>
                                  <w:rPr>
                                    <w:sz w:val="15"/>
                                    <w:szCs w:val="18"/>
                                  </w:rPr>
                                </w:pPr>
                                <w:r>
                                  <w:rPr>
                                    <w:rFonts w:hint="eastAsia" w:ascii="宋体" w:hAnsi="宋体" w:cs="宋体"/>
                                    <w:sz w:val="18"/>
                                    <w:szCs w:val="18"/>
                                  </w:rPr>
                                  <w:t>整改不到位</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16" name="文本框 16"/>
                        <wps:cNvSpPr txBox="1"/>
                        <wps:spPr>
                          <a:xfrm>
                            <a:off x="10843" y="9272"/>
                            <a:ext cx="1765" cy="419"/>
                          </a:xfrm>
                          <a:prstGeom prst="rect">
                            <a:avLst/>
                          </a:prstGeom>
                          <a:noFill/>
                          <a:ln w="6350">
                            <a:noFill/>
                          </a:ln>
                        </wps:spPr>
                        <wps:txbx>
                          <w:txbxContent>
                            <w:p>
                              <w:r>
                                <w:rPr>
                                  <w:rFonts w:hint="eastAsia" w:ascii="宋体" w:hAnsi="宋体" w:cs="宋体"/>
                                  <w:sz w:val="18"/>
                                  <w:szCs w:val="18"/>
                                </w:rPr>
                                <w:t>已整改到位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直接箭头连接符 17"/>
                        <wps:cNvCnPr/>
                        <wps:spPr>
                          <a:xfrm flipH="1">
                            <a:off x="10859" y="10924"/>
                            <a:ext cx="6" cy="548"/>
                          </a:xfrm>
                          <a:prstGeom prst="straightConnector1">
                            <a:avLst/>
                          </a:prstGeom>
                          <a:noFill/>
                          <a:ln w="6350" cap="flat" cmpd="sng" algn="ctr">
                            <a:solidFill>
                              <a:srgbClr val="000000"/>
                            </a:solidFill>
                            <a:prstDash val="solid"/>
                            <a:miter lim="800000"/>
                            <a:headEnd type="none"/>
                            <a:tailEnd type="triangle" w="med" len="med"/>
                          </a:ln>
                        </wps:spPr>
                        <wps:bodyPr/>
                      </wps:wsp>
                      <wps:wsp>
                        <wps:cNvPr id="18" name="文本框 18"/>
                        <wps:cNvSpPr txBox="1"/>
                        <wps:spPr>
                          <a:xfrm>
                            <a:off x="9050" y="11488"/>
                            <a:ext cx="3679" cy="1085"/>
                          </a:xfrm>
                          <a:prstGeom prst="rect">
                            <a:avLst/>
                          </a:prstGeom>
                          <a:noFill/>
                          <a:ln w="6350">
                            <a:solidFill>
                              <a:prstClr val="black"/>
                            </a:solidFill>
                          </a:ln>
                        </wps:spPr>
                        <wps:txbx>
                          <w:txbxContent>
                            <w:p>
                              <w:pPr>
                                <w:jc w:val="center"/>
                                <w:rPr>
                                  <w:rFonts w:ascii="宋体" w:hAnsi="宋体" w:cs="宋体"/>
                                  <w:sz w:val="21"/>
                                  <w:szCs w:val="21"/>
                                </w:rPr>
                              </w:pPr>
                              <w:r>
                                <w:rPr>
                                  <w:rFonts w:hint="eastAsia" w:ascii="宋体" w:hAnsi="宋体" w:cs="宋体"/>
                                  <w:sz w:val="21"/>
                                  <w:szCs w:val="21"/>
                                </w:rPr>
                                <w:t>如存在拒不配合整改工作、整改不力、虚假整改、恶意拖延等情节，视严重程度启动约谈程序或追责问责程序</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15.3pt;margin-top:10.05pt;height:486.85pt;width:246.45pt;z-index:251660288;mso-width-relative:page;mso-height-relative:page;" coordorigin="9048,2836" coordsize="4929,9737" o:gfxdata="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HKCuMza&#10;AAAACgEAAA8AAAAAAAAAAQAgAAAAIgAAAGRycy9kb3ducmV2LnhtbFBLAQIUABQAAAAIAIdO4kBX&#10;zccfkgYAAE0rAAAOAAAAAAAAAAEAIAAAACkBAABkcnMvZTJvRG9jLnhtbFBLBQYAAAAABgAGAFkB&#10;AAAtCgAAAAA=&#10;">
                <o:lock v:ext="edit" aspectratio="f"/>
                <v:shape id="_x0000_s1026" o:spid="_x0000_s1026" o:spt="202" type="#_x0000_t202" style="position:absolute;left:9061;top:2836;height:1085;width:3679;" filled="f" stroked="t" coordsize="21600,21600" o:gfxdata="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fJRsL4A&#10;AADa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jc w:val="center"/>
                          <w:rPr>
                            <w:sz w:val="21"/>
                            <w:szCs w:val="18"/>
                          </w:rPr>
                        </w:pPr>
                        <w:r>
                          <w:rPr>
                            <w:rFonts w:hint="eastAsia"/>
                            <w:sz w:val="21"/>
                            <w:szCs w:val="18"/>
                          </w:rPr>
                          <w:t>审计项目结束后，审计处向被审计部门下达审计报告、审计整改通知书和《发现问题整改清单》</w:t>
                        </w:r>
                      </w:p>
                    </w:txbxContent>
                  </v:textbox>
                </v:shape>
                <v:shape id="_x0000_s1026" o:spid="_x0000_s1026" o:spt="32" type="#_x0000_t32" style="position:absolute;left:10895;top:3921;flip:x;height:548;width:6;" filled="f" stroked="t" coordsize="21600,21600" o:gfxdata="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24uwvQAA&#10;ANoAAAAPAAAAAAAAAAEAIAAAACIAAABkcnMvZG93bnJldi54bWxQSwECFAAUAAAACACHTuJAMy8F&#10;njsAAAA5AAAAEAAAAAAAAAABACAAAAAMAQAAZHJzL3NoYXBleG1sLnhtbFBLBQYAAAAABgAGAFsB&#10;AAC2AwAAAAA=&#10;">
                  <v:fill on="f" focussize="0,0"/>
                  <v:stroke weight="0.5pt" color="#000000" miterlimit="8" joinstyle="miter" endarrow="block"/>
                  <v:imagedata o:title=""/>
                  <o:lock v:ext="edit" aspectratio="f"/>
                </v:shape>
                <v:shape id="_x0000_s1026" o:spid="_x0000_s1026" o:spt="202" type="#_x0000_t202" style="position:absolute;left:9072;top:4496;height:1085;width:3679;" filled="f" stroked="t" coordsize="21600,21600" o:gfxdata="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dsX74A&#10;AADa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jc w:val="center"/>
                          <w:rPr>
                            <w:sz w:val="20"/>
                            <w:szCs w:val="16"/>
                          </w:rPr>
                        </w:pPr>
                        <w:r>
                          <w:rPr>
                            <w:rFonts w:hint="eastAsia"/>
                            <w:sz w:val="20"/>
                            <w:szCs w:val="16"/>
                          </w:rPr>
                          <w:t>被审计部门确定审计整改的组织形式、工作机制、实施方案等，强化审计整改工作落实</w:t>
                        </w:r>
                      </w:p>
                    </w:txbxContent>
                  </v:textbox>
                </v:shape>
                <v:shape id="_x0000_s1026" o:spid="_x0000_s1026" o:spt="32" type="#_x0000_t32" style="position:absolute;left:10915;top:5581;flip:x;height:548;width:6;" filled="f" stroked="t" coordsize="21600,21600" o:gfxdata="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rZfvQAA&#10;ANoAAAAPAAAAAAAAAAEAIAAAACIAAABkcnMvZG93bnJldi54bWxQSwECFAAUAAAACACHTuJAMy8F&#10;njsAAAA5AAAAEAAAAAAAAAABACAAAAAMAQAAZHJzL3NoYXBleG1sLnhtbFBLBQYAAAAABgAGAFsB&#10;AAC2AwAAAAA=&#10;">
                  <v:fill on="f" focussize="0,0"/>
                  <v:stroke weight="0.5pt" color="#000000" miterlimit="8" joinstyle="miter" endarrow="block"/>
                  <v:imagedata o:title=""/>
                  <o:lock v:ext="edit" aspectratio="f"/>
                </v:shape>
                <v:shape id="_x0000_s1026" o:spid="_x0000_s1026" o:spt="202" type="#_x0000_t202" style="position:absolute;left:9073;top:6131;height:1085;width:3679;" filled="f" stroked="t" coordsize="21600,21600" o:gfxdata="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lXs74A&#10;AADa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jc w:val="center"/>
                          <w:rPr>
                            <w:rFonts w:ascii="宋体" w:hAnsi="宋体" w:cs="宋体"/>
                            <w:sz w:val="21"/>
                            <w:szCs w:val="21"/>
                          </w:rPr>
                        </w:pPr>
                        <w:r>
                          <w:rPr>
                            <w:rFonts w:hint="eastAsia" w:ascii="宋体" w:hAnsi="宋体" w:cs="宋体"/>
                            <w:sz w:val="21"/>
                            <w:szCs w:val="21"/>
                          </w:rPr>
                          <w:t>被审计部门在规定期限内进行整改并提交书面整改结果报告、佐证材料及《审计整改结果清单》</w:t>
                        </w:r>
                      </w:p>
                    </w:txbxContent>
                  </v:textbox>
                </v:shape>
                <v:shape id="_x0000_s1026" o:spid="_x0000_s1026" o:spt="32" type="#_x0000_t32" style="position:absolute;left:10873;top:7224;flip:x;height:548;width:6;" filled="f" stroked="t" coordsize="21600,21600" o:gfxdata="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4I2zvQAA&#10;ANoAAAAPAAAAAAAAAAEAIAAAACIAAABkcnMvZG93bnJldi54bWxQSwECFAAUAAAACACHTuJAMy8F&#10;njsAAAA5AAAAEAAAAAAAAAABACAAAAAMAQAAZHJzL3NoYXBleG1sLnhtbFBLBQYAAAAABgAGAFsB&#10;AAC2AwAAAAA=&#10;">
                  <v:fill on="f" focussize="0,0"/>
                  <v:stroke weight="0.5pt" color="#000000" miterlimit="8" joinstyle="miter" endarrow="block"/>
                  <v:imagedata o:title=""/>
                  <o:lock v:ext="edit" aspectratio="f"/>
                </v:shape>
                <v:group id="_x0000_s1026" o:spid="_x0000_s1026" o:spt="203" style="position:absolute;left:9580;top:7782;height:1481;width:2630;" coordorigin="5761,7782" coordsize="2630,1481"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_x0000_s1026" o:spid="_x0000_s1026" o:spt="110" type="#_x0000_t110" style="position:absolute;left:5761;top:7782;height:1481;width:2630;v-text-anchor:middle;" filled="f" stroked="t" coordsize="21600,21600" o:gfxdata="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g9s562AAAA2gAAAA8A&#10;AAAAAAAAAQAgAAAAIgAAAGRycy9kb3ducmV2LnhtbFBLAQIUABQAAAAIAIdO4kAzLwWeOwAAADkA&#10;AAAQAAAAAAAAAAEAIAAAAAUBAABkcnMvc2hhcGV4bWwueG1sUEsFBgAAAAAGAAYAWwEAAK8DAAAA&#10;AA==&#10;">
                    <v:fill on="f" focussize="0,0"/>
                    <v:stroke weight="0.5pt" color="#000000" miterlimit="8" joinstyle="miter"/>
                    <v:imagedata o:title=""/>
                    <o:lock v:ext="edit" aspectratio="f"/>
                  </v:shape>
                  <v:shape id="_x0000_s1026" o:spid="_x0000_s1026" o:spt="202" type="#_x0000_t202" style="position:absolute;left:6335;top:8142;height:830;width:1419;" filled="f" stroked="f" coordsize="21600,21600" o:gfxdata="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QjGb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20"/>
                              <w:szCs w:val="16"/>
                            </w:rPr>
                          </w:pPr>
                          <w:r>
                            <w:rPr>
                              <w:rFonts w:hint="eastAsia"/>
                              <w:sz w:val="20"/>
                              <w:szCs w:val="16"/>
                            </w:rPr>
                            <w:t>审计整改</w:t>
                          </w:r>
                        </w:p>
                        <w:p>
                          <w:pPr>
                            <w:jc w:val="center"/>
                            <w:rPr>
                              <w:sz w:val="20"/>
                              <w:szCs w:val="16"/>
                            </w:rPr>
                          </w:pPr>
                          <w:r>
                            <w:rPr>
                              <w:rFonts w:hint="eastAsia"/>
                              <w:sz w:val="20"/>
                              <w:szCs w:val="16"/>
                            </w:rPr>
                            <w:t>跟踪检查</w:t>
                          </w:r>
                        </w:p>
                      </w:txbxContent>
                    </v:textbox>
                  </v:shape>
                </v:group>
                <v:shape id="_x0000_s1026" o:spid="_x0000_s1026" o:spt="32" type="#_x0000_t32" style="position:absolute;left:10884;top:9255;flip:x;height:548;width:6;" filled="f" stroked="t" coordsize="21600,21600" o:gfxdata="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HEdbsAAADb&#10;AAAADwAAAAAAAAABACAAAAAiAAAAZHJzL2Rvd25yZXYueG1sUEsBAhQAFAAAAAgAh07iQDMvBZ47&#10;AAAAOQAAABAAAAAAAAAAAQAgAAAACgEAAGRycy9zaGFwZXhtbC54bWxQSwUGAAAAAAYABgBbAQAA&#10;tAMAAAAA&#10;">
                  <v:fill on="f" focussize="0,0"/>
                  <v:stroke weight="0.5pt" color="#000000" miterlimit="8" joinstyle="miter" endarrow="block"/>
                  <v:imagedata o:title=""/>
                  <o:lock v:ext="edit" aspectratio="f"/>
                </v:shape>
                <v:shape id="_x0000_s1026" o:spid="_x0000_s1026" o:spt="202" type="#_x0000_t202" style="position:absolute;left:9048;top:9818;height:1085;width:3679;" filled="f" stroked="t" coordsize="21600,21600" o:gfxdata="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ZriK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textbox>
                    <w:txbxContent>
                      <w:p>
                        <w:pPr>
                          <w:jc w:val="center"/>
                          <w:rPr>
                            <w:rFonts w:ascii="宋体" w:hAnsi="宋体" w:cs="宋体"/>
                            <w:sz w:val="21"/>
                            <w:szCs w:val="21"/>
                          </w:rPr>
                        </w:pPr>
                        <w:r>
                          <w:rPr>
                            <w:rFonts w:hint="eastAsia" w:ascii="宋体" w:hAnsi="宋体" w:cs="宋体"/>
                            <w:sz w:val="21"/>
                            <w:szCs w:val="21"/>
                          </w:rPr>
                          <w:t>审计处检查整改结果，依据报送材料进行对账销号，填写《审计整改销号清单》</w:t>
                        </w:r>
                      </w:p>
                    </w:txbxContent>
                  </v:textbox>
                </v:shape>
                <v:group id="_x0000_s1026" o:spid="_x0000_s1026" o:spt="203" style="position:absolute;left:12210;top:6674;height:1950;width:1767;" coordorigin="8391,6674" coordsize="1767,195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_x0000_s1026" o:spid="_x0000_s1026" o:spt="34" type="#_x0000_t34" style="position:absolute;left:8391;top:6674;flip:y;height:1849;width:542;" filled="f" stroked="t" coordsize="21600,21600" o:gfxdata="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Ux+y8AAAA&#10;2wAAAA8AAAAAAAAAAQAgAAAAIgAAAGRycy9kb3ducmV2LnhtbFBLAQIUABQAAAAIAIdO4kAzLwWe&#10;OwAAADkAAAAQAAAAAAAAAAEAIAAAAAsBAABkcnMvc2hhcGV4bWwueG1sUEsFBgAAAAAGAAYAWwEA&#10;ALUDAAAAAA==&#10;" adj="51330">
                    <v:fill on="f" focussize="0,0"/>
                    <v:stroke weight="0.5pt" color="#000000" miterlimit="8" joinstyle="miter" endarrow="block"/>
                    <v:imagedata o:title=""/>
                    <o:lock v:ext="edit" aspectratio="f"/>
                  </v:shape>
                  <v:shape id="_x0000_s1026" o:spid="_x0000_s1026" o:spt="202" type="#_x0000_t202" style="position:absolute;left:9406;top:7046;height:1579;width:752;" filled="f" stroked="f" coordsize="21600,21600" o:gfxdata="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3hrdvQAA&#10;ANs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sz w:val="15"/>
                              <w:szCs w:val="18"/>
                            </w:rPr>
                          </w:pPr>
                          <w:r>
                            <w:rPr>
                              <w:rFonts w:hint="eastAsia" w:ascii="宋体" w:hAnsi="宋体" w:cs="宋体"/>
                              <w:sz w:val="18"/>
                              <w:szCs w:val="18"/>
                            </w:rPr>
                            <w:t>整改不到位</w:t>
                          </w:r>
                        </w:p>
                      </w:txbxContent>
                    </v:textbox>
                  </v:shape>
                </v:group>
                <v:shape id="_x0000_s1026" o:spid="_x0000_s1026" o:spt="202" type="#_x0000_t202" style="position:absolute;left:10843;top:9272;height:419;width:1765;"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r>
                          <w:rPr>
                            <w:rFonts w:hint="eastAsia" w:ascii="宋体" w:hAnsi="宋体" w:cs="宋体"/>
                            <w:sz w:val="18"/>
                            <w:szCs w:val="18"/>
                          </w:rPr>
                          <w:t>已整改到位</w:t>
                        </w:r>
                      </w:p>
                    </w:txbxContent>
                  </v:textbox>
                </v:shape>
                <v:shape id="_x0000_s1026" o:spid="_x0000_s1026" o:spt="32" type="#_x0000_t32" style="position:absolute;left:10859;top:10924;flip:x;height:548;width:6;" filled="f" stroked="t" coordsize="21600,21600" o:gfxdata="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U+Zq8AAAA&#10;2wAAAA8AAAAAAAAAAQAgAAAAIgAAAGRycy9kb3ducmV2LnhtbFBLAQIUABQAAAAIAIdO4kAzLwWe&#10;OwAAADkAAAAQAAAAAAAAAAEAIAAAAAsBAABkcnMvc2hhcGV4bWwueG1sUEsFBgAAAAAGAAYAWwEA&#10;ALUDAAAAAA==&#10;">
                  <v:fill on="f" focussize="0,0"/>
                  <v:stroke weight="0.5pt" color="#000000" miterlimit="8" joinstyle="miter" endarrow="block"/>
                  <v:imagedata o:title=""/>
                  <o:lock v:ext="edit" aspectratio="f"/>
                </v:shape>
                <v:shape id="_x0000_s1026" o:spid="_x0000_s1026" o:spt="202" type="#_x0000_t202" style="position:absolute;left:9050;top:11488;height:1085;width:3679;" filled="f" stroked="t" coordsize="21600,21600" o:gfxdata="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xmci/&#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textbox>
                    <w:txbxContent>
                      <w:p>
                        <w:pPr>
                          <w:jc w:val="center"/>
                          <w:rPr>
                            <w:rFonts w:ascii="宋体" w:hAnsi="宋体" w:cs="宋体"/>
                            <w:sz w:val="21"/>
                            <w:szCs w:val="21"/>
                          </w:rPr>
                        </w:pPr>
                        <w:r>
                          <w:rPr>
                            <w:rFonts w:hint="eastAsia" w:ascii="宋体" w:hAnsi="宋体" w:cs="宋体"/>
                            <w:sz w:val="21"/>
                            <w:szCs w:val="21"/>
                          </w:rPr>
                          <w:t>如存在拒不配合整改工作、整改不力、虚假整改、恶意拖延等情节，视严重程度启动约谈程序或追责问责程序</w:t>
                        </w:r>
                      </w:p>
                    </w:txbxContent>
                  </v:textbox>
                </v:shape>
              </v:group>
            </w:pict>
          </mc:Fallback>
        </mc:AlternateContent>
      </w:r>
    </w:p>
    <w:p>
      <w:pPr>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ind w:firstLine="0" w:firstLineChars="0"/>
        <w:rPr>
          <w:rFonts w:hint="default" w:ascii="Times New Roman" w:hAnsi="Times New Roman" w:cs="Times New Roman"/>
        </w:rPr>
      </w:pPr>
    </w:p>
    <w:p>
      <w:pPr>
        <w:spacing w:line="560" w:lineRule="exact"/>
        <w:rPr>
          <w:rFonts w:hint="eastAsia" w:ascii="方正黑体_GBK" w:hAnsi="方正黑体_GBK" w:eastAsia="方正黑体_GBK" w:cs="方正黑体_GBK"/>
          <w:b/>
          <w:bCs/>
          <w:szCs w:val="32"/>
        </w:rPr>
      </w:pPr>
      <w:r>
        <w:rPr>
          <w:rFonts w:hint="eastAsia" w:ascii="方正黑体_GBK" w:hAnsi="方正黑体_GBK" w:eastAsia="方正黑体_GBK" w:cs="方正黑体_GBK"/>
          <w:b/>
          <w:bCs/>
          <w:szCs w:val="32"/>
        </w:rPr>
        <w:t>附件5</w:t>
      </w:r>
    </w:p>
    <w:p>
      <w:pPr>
        <w:pStyle w:val="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审计整改工作方案模板</w:t>
      </w:r>
    </w:p>
    <w:p>
      <w:pPr>
        <w:spacing w:line="560" w:lineRule="exact"/>
        <w:ind w:firstLine="880" w:firstLineChars="20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××××（部门名称）关于××××</w:t>
      </w:r>
    </w:p>
    <w:p>
      <w:pPr>
        <w:spacing w:line="560" w:lineRule="exact"/>
        <w:rPr>
          <w:rFonts w:hint="default" w:ascii="Times New Roman" w:hAnsi="Times New Roman" w:cs="Times New Roman"/>
          <w:szCs w:val="32"/>
        </w:rPr>
      </w:pPr>
      <w:r>
        <w:rPr>
          <w:rFonts w:hint="eastAsia" w:ascii="方正小标宋_GBK" w:hAnsi="方正小标宋_GBK" w:eastAsia="方正小标宋_GBK" w:cs="方正小标宋_GBK"/>
          <w:sz w:val="44"/>
          <w:szCs w:val="44"/>
        </w:rPr>
        <w:t>（审计项目名称）审计整改工作实施方案</w:t>
      </w:r>
      <w:r>
        <w:rPr>
          <w:rFonts w:hint="default" w:ascii="Times New Roman" w:hAnsi="Times New Roman" w:cs="Times New Roman"/>
          <w:szCs w:val="32"/>
        </w:rPr>
        <w:t>：</w:t>
      </w:r>
    </w:p>
    <w:p>
      <w:pPr>
        <w:spacing w:line="560" w:lineRule="exact"/>
        <w:ind w:firstLine="640" w:firstLineChars="200"/>
        <w:rPr>
          <w:rFonts w:hint="default" w:ascii="Times New Roman" w:hAnsi="Times New Roman" w:cs="Times New Roman"/>
        </w:rPr>
      </w:pPr>
    </w:p>
    <w:p>
      <w:pPr>
        <w:pStyle w:val="12"/>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××××（审计项目名称）实施后，我部门按要求做好审计整改工作。现将具体整改落实情况报告如下：</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根据××××的要求，现制定审计整改工作实施方案。</w:t>
      </w:r>
    </w:p>
    <w:p>
      <w:pPr>
        <w:numPr>
          <w:ilvl w:val="0"/>
          <w:numId w:val="1"/>
        </w:num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整改目标</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我部门高度重视经济责任审计整改工作，针对审计发现的问题，逐一落实整改，切实整改到位，取得成效。通过审计整改，进一步……。</w:t>
      </w:r>
    </w:p>
    <w:p>
      <w:pPr>
        <w:numPr>
          <w:ilvl w:val="0"/>
          <w:numId w:val="1"/>
        </w:num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工作安排</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审计整改工作从 年 月 日开始至 年 月 日前完成，分三个阶段进行。</w:t>
      </w:r>
    </w:p>
    <w:p>
      <w:pPr>
        <w:spacing w:line="560" w:lineRule="exact"/>
        <w:ind w:firstLine="643" w:firstLineChars="200"/>
        <w:rPr>
          <w:rFonts w:hint="default" w:ascii="Times New Roman" w:hAnsi="Times New Roman" w:eastAsia="方正仿宋_GBK" w:cs="Times New Roman"/>
          <w:b/>
          <w:bCs/>
          <w:szCs w:val="32"/>
        </w:rPr>
      </w:pPr>
      <w:r>
        <w:rPr>
          <w:rFonts w:hint="default" w:ascii="Times New Roman" w:hAnsi="Times New Roman" w:eastAsia="方正仿宋_GBK" w:cs="Times New Roman"/>
          <w:b/>
          <w:bCs/>
          <w:szCs w:val="32"/>
        </w:rPr>
        <w:t>1.动员部署（月 日—月 日）</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针对审计提出的问题和建议，研究制定审计整改工作实施方案……。</w:t>
      </w:r>
    </w:p>
    <w:p>
      <w:pPr>
        <w:spacing w:line="560" w:lineRule="exact"/>
        <w:ind w:firstLine="643" w:firstLineChars="200"/>
        <w:rPr>
          <w:rFonts w:hint="default" w:ascii="Times New Roman" w:hAnsi="Times New Roman" w:eastAsia="方正仿宋_GBK" w:cs="Times New Roman"/>
          <w:b/>
          <w:bCs/>
          <w:szCs w:val="32"/>
        </w:rPr>
      </w:pPr>
      <w:r>
        <w:rPr>
          <w:rFonts w:hint="default" w:ascii="Times New Roman" w:hAnsi="Times New Roman" w:eastAsia="方正仿宋_GBK" w:cs="Times New Roman"/>
          <w:b/>
          <w:bCs/>
          <w:szCs w:val="32"/>
        </w:rPr>
        <w:t>2.组织整改（ 月 日— 月 日）</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各部门要根据审计发现问题、整改目标和整改任务，研究制定具体整改措施……。</w:t>
      </w:r>
    </w:p>
    <w:p>
      <w:pPr>
        <w:spacing w:line="560" w:lineRule="exact"/>
        <w:ind w:firstLine="643" w:firstLineChars="200"/>
        <w:rPr>
          <w:rFonts w:hint="default" w:ascii="Times New Roman" w:hAnsi="Times New Roman" w:eastAsia="方正仿宋_GBK" w:cs="Times New Roman"/>
          <w:b/>
          <w:bCs/>
          <w:szCs w:val="32"/>
        </w:rPr>
      </w:pPr>
      <w:r>
        <w:rPr>
          <w:rFonts w:hint="default" w:ascii="Times New Roman" w:hAnsi="Times New Roman" w:eastAsia="方正仿宋_GBK" w:cs="Times New Roman"/>
          <w:b/>
          <w:bCs/>
          <w:szCs w:val="32"/>
        </w:rPr>
        <w:t>3.总结报告（ 年  月  日—  月  日）</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w:t>
      </w:r>
    </w:p>
    <w:p>
      <w:pPr>
        <w:numPr>
          <w:ilvl w:val="0"/>
          <w:numId w:val="1"/>
        </w:num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工作要求</w:t>
      </w:r>
    </w:p>
    <w:p>
      <w:pPr>
        <w:pStyle w:val="12"/>
        <w:rPr>
          <w:rFonts w:hint="eastAsia" w:ascii="Times New Roman" w:hAnsi="Times New Roman" w:eastAsia="方正仿宋_GBK" w:cs="Times New Roman"/>
          <w:lang w:eastAsia="zh-CN"/>
        </w:rPr>
      </w:pPr>
      <w:r>
        <w:rPr>
          <w:rFonts w:hint="default" w:ascii="Times New Roman" w:hAnsi="Times New Roman" w:eastAsia="方正黑体_GBK" w:cs="Times New Roman"/>
          <w:sz w:val="32"/>
          <w:szCs w:val="32"/>
        </w:rPr>
        <w:t xml:space="preserve">    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2.……。</w:t>
      </w:r>
    </w:p>
    <w:p>
      <w:pPr>
        <w:rPr>
          <w:rFonts w:hint="default" w:ascii="Times New Roman" w:hAnsi="Times New Roman" w:eastAsia="方正仿宋_GBK" w:cs="Times New Roman"/>
          <w:szCs w:val="32"/>
        </w:rPr>
      </w:pPr>
    </w:p>
    <w:p>
      <w:pPr>
        <w:spacing w:line="560" w:lineRule="exact"/>
        <w:ind w:firstLine="320" w:firstLineChars="100"/>
        <w:rPr>
          <w:rFonts w:hint="default" w:ascii="Times New Roman" w:hAnsi="Times New Roman" w:eastAsia="方正仿宋_GBK" w:cs="Times New Roman"/>
          <w:szCs w:val="32"/>
        </w:rPr>
      </w:pPr>
    </w:p>
    <w:p>
      <w:pPr>
        <w:spacing w:line="560" w:lineRule="exact"/>
        <w:ind w:firstLine="4480" w:firstLineChars="14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××××（部门名称、盖章）</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年  月  日</w:t>
      </w:r>
    </w:p>
    <w:p>
      <w:pPr>
        <w:pStyle w:val="2"/>
        <w:rPr>
          <w:rFonts w:hint="default"/>
        </w:rPr>
      </w:pP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（联络人及联系电话）</w:t>
      </w:r>
    </w:p>
    <w:p>
      <w:pPr>
        <w:pStyle w:val="12"/>
        <w:rPr>
          <w:rFonts w:hint="default" w:ascii="Times New Roman" w:hAnsi="Times New Roman" w:cs="Times New Roman"/>
          <w:szCs w:val="32"/>
        </w:rPr>
      </w:pPr>
    </w:p>
    <w:p>
      <w:pPr>
        <w:rPr>
          <w:rFonts w:hint="default" w:ascii="Times New Roman" w:hAnsi="Times New Roman" w:cs="Times New Roman"/>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default" w:ascii="Times New Roman" w:hAnsi="Times New Roman" w:eastAsia="仿宋_GB2312" w:cs="Times New Roman"/>
          <w:b/>
          <w:bCs/>
          <w:sz w:val="32"/>
          <w:szCs w:val="32"/>
        </w:rPr>
      </w:pPr>
    </w:p>
    <w:p>
      <w:pPr>
        <w:pStyle w:val="3"/>
        <w:ind w:firstLine="0" w:firstLineChars="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附件6</w:t>
      </w:r>
    </w:p>
    <w:p>
      <w:pPr>
        <w:pStyle w:val="3"/>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sz w:val="44"/>
          <w:szCs w:val="44"/>
        </w:rPr>
        <w:t>审计整改报告模板</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××××（部门名称）关于××××</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（审计项目名称）审计整改落实情况的报告</w:t>
      </w:r>
    </w:p>
    <w:p>
      <w:pPr>
        <w:spacing w:line="560" w:lineRule="exact"/>
        <w:ind w:firstLine="880" w:firstLineChars="200"/>
        <w:rPr>
          <w:rFonts w:hint="eastAsia" w:ascii="方正小标宋_GBK" w:hAnsi="方正小标宋_GBK" w:eastAsia="方正小标宋_GBK" w:cs="方正小标宋_GBK"/>
          <w:sz w:val="44"/>
          <w:szCs w:val="44"/>
        </w:rPr>
      </w:pPr>
    </w:p>
    <w:p>
      <w:pPr>
        <w:spacing w:line="560"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rPr>
        <w:t>××××：</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××××（审计项目名称）实施后，我部门按要求做好审计整改工作。现将具体整改落实情况报告如下：</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一、落实审计整改主体责任的措施</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归纳总结本部门部署推动审计整改工作的总体措施。</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二、审计查出问题的整改情况</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截至××年××月，审计反映的××类××个问题中，完成整改的××个，部分整改的××个，未整改的××个，整改完成率××%。（其中：审计决定金额××万元，已完成整改××万元，未整改××万元）。</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三、举一反三，建立长效机制情况</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归纳总结本部门除了对审计发现问题的整改情况外，在审计整改过程中形成的所涉及本行业或领域</w:t>
      </w:r>
      <w:r>
        <w:rPr>
          <w:rFonts w:hint="eastAsia" w:eastAsia="方正仿宋_GBK" w:cs="Times New Roman"/>
          <w:szCs w:val="32"/>
          <w:lang w:val="en-US" w:eastAsia="zh-CN"/>
        </w:rPr>
        <w:t>在</w:t>
      </w:r>
      <w:r>
        <w:rPr>
          <w:rFonts w:hint="default" w:ascii="Times New Roman" w:hAnsi="Times New Roman" w:eastAsia="方正仿宋_GBK" w:cs="Times New Roman"/>
          <w:szCs w:val="32"/>
        </w:rPr>
        <w:t>加强管理、完善制度、建立整改长效机制</w:t>
      </w:r>
      <w:r>
        <w:rPr>
          <w:rFonts w:hint="eastAsia" w:eastAsia="方正仿宋_GBK" w:cs="Times New Roman"/>
          <w:szCs w:val="32"/>
          <w:lang w:val="en-US" w:eastAsia="zh-CN"/>
        </w:rPr>
        <w:t>方面</w:t>
      </w:r>
      <w:r>
        <w:rPr>
          <w:rFonts w:hint="default" w:ascii="Times New Roman" w:hAnsi="Times New Roman" w:eastAsia="方正仿宋_GBK" w:cs="Times New Roman"/>
          <w:szCs w:val="32"/>
        </w:rPr>
        <w:t>的审计整改工作措施。</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四、对未整改到位问题继续推进整改的说明</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归纳总结本部门下一步针对未完成整改的问题采取的工作措施。</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五、典型事例</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归纳总结本部门通过认真分析审计指出的问题，深入查找原因，采纳审计建议并采取整改措施</w:t>
      </w:r>
      <w:r>
        <w:rPr>
          <w:rFonts w:hint="eastAsia" w:eastAsia="方正仿宋_GBK" w:cs="Times New Roman"/>
          <w:szCs w:val="32"/>
          <w:lang w:val="en-US" w:eastAsia="zh-CN"/>
        </w:rPr>
        <w:t>后</w:t>
      </w:r>
      <w:r>
        <w:rPr>
          <w:rFonts w:hint="default" w:ascii="Times New Roman" w:hAnsi="Times New Roman" w:eastAsia="方正仿宋_GBK" w:cs="Times New Roman"/>
          <w:szCs w:val="32"/>
        </w:rPr>
        <w:t>，达到举一反三，</w:t>
      </w:r>
      <w:r>
        <w:rPr>
          <w:rFonts w:hint="eastAsia" w:eastAsia="方正仿宋_GBK" w:cs="Times New Roman"/>
          <w:szCs w:val="32"/>
          <w:lang w:eastAsia="zh-CN"/>
        </w:rPr>
        <w:t>“</w:t>
      </w:r>
      <w:r>
        <w:rPr>
          <w:rFonts w:hint="default" w:ascii="Times New Roman" w:hAnsi="Times New Roman" w:eastAsia="方正仿宋_GBK" w:cs="Times New Roman"/>
          <w:szCs w:val="32"/>
        </w:rPr>
        <w:t>治已病、防未病</w:t>
      </w:r>
      <w:r>
        <w:rPr>
          <w:rFonts w:hint="eastAsia" w:eastAsia="方正仿宋_GBK" w:cs="Times New Roman"/>
          <w:szCs w:val="32"/>
          <w:lang w:eastAsia="zh-CN"/>
        </w:rPr>
        <w:t>”</w:t>
      </w:r>
      <w:r>
        <w:rPr>
          <w:rFonts w:hint="default" w:ascii="Times New Roman" w:hAnsi="Times New Roman" w:eastAsia="方正仿宋_GBK" w:cs="Times New Roman"/>
          <w:szCs w:val="32"/>
        </w:rPr>
        <w:t>良好效果的典型事例。</w:t>
      </w:r>
    </w:p>
    <w:p>
      <w:pPr>
        <w:spacing w:line="560" w:lineRule="exact"/>
        <w:ind w:firstLine="640"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rPr>
        <w:t>六、其他需要说明的事项</w:t>
      </w:r>
    </w:p>
    <w:p>
      <w:pPr>
        <w:spacing w:line="560" w:lineRule="exact"/>
        <w:ind w:firstLine="640" w:firstLineChars="200"/>
        <w:rPr>
          <w:rFonts w:hint="default" w:ascii="Times New Roman" w:hAnsi="Times New Roman" w:eastAsia="方正仿宋_GBK" w:cs="Times New Roman"/>
          <w:szCs w:val="32"/>
        </w:rPr>
      </w:pPr>
    </w:p>
    <w:p>
      <w:pPr>
        <w:spacing w:line="560" w:lineRule="exact"/>
        <w:ind w:firstLine="640" w:firstLineChars="200"/>
        <w:rPr>
          <w:rFonts w:hint="default" w:ascii="Times New Roman" w:hAnsi="Times New Roman" w:eastAsia="方正仿宋_GBK" w:cs="Times New Roman"/>
          <w:szCs w:val="32"/>
        </w:rPr>
      </w:pP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附件：1.审计发现问题清单</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2.其他佐证材料</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w:t>
      </w:r>
    </w:p>
    <w:p>
      <w:pPr>
        <w:spacing w:line="560" w:lineRule="exact"/>
        <w:rPr>
          <w:rFonts w:hint="default" w:ascii="Times New Roman" w:hAnsi="Times New Roman" w:eastAsia="方正仿宋_GBK" w:cs="Times New Roman"/>
          <w:szCs w:val="32"/>
        </w:rPr>
      </w:pPr>
    </w:p>
    <w:p>
      <w:pPr>
        <w:spacing w:line="560" w:lineRule="exact"/>
        <w:ind w:firstLine="320" w:firstLineChars="100"/>
        <w:rPr>
          <w:rFonts w:hint="default" w:ascii="Times New Roman" w:hAnsi="Times New Roman" w:eastAsia="方正仿宋_GBK" w:cs="Times New Roman"/>
          <w:szCs w:val="32"/>
        </w:rPr>
      </w:pPr>
    </w:p>
    <w:p>
      <w:pPr>
        <w:spacing w:line="560" w:lineRule="exact"/>
        <w:ind w:firstLine="4480" w:firstLineChars="1400"/>
        <w:rPr>
          <w:rFonts w:hint="default" w:ascii="Times New Roman" w:hAnsi="Times New Roman" w:eastAsia="方正仿宋_GBK" w:cs="Times New Roman"/>
          <w:szCs w:val="32"/>
        </w:rPr>
      </w:pPr>
      <w:r>
        <w:rPr>
          <w:rFonts w:hint="default" w:ascii="Times New Roman" w:hAnsi="Times New Roman" w:eastAsia="方正仿宋_GBK" w:cs="Times New Roman"/>
          <w:szCs w:val="32"/>
        </w:rPr>
        <w:t>××××（部门名称、盖章）</w:t>
      </w: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年  月  日</w:t>
      </w:r>
    </w:p>
    <w:p>
      <w:pPr>
        <w:pStyle w:val="2"/>
        <w:rPr>
          <w:rFonts w:hint="default"/>
        </w:rPr>
      </w:pPr>
    </w:p>
    <w:p>
      <w:pPr>
        <w:spacing w:line="56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（联络人及联系电话）</w:t>
      </w:r>
      <w:bookmarkStart w:id="1" w:name="主题词"/>
      <w:bookmarkEnd w:id="1"/>
      <w:bookmarkStart w:id="2" w:name="成文日期"/>
      <w:bookmarkEnd w:id="2"/>
    </w:p>
    <w:p>
      <w:pPr>
        <w:rPr>
          <w:rFonts w:hint="default" w:ascii="Times New Roman" w:hAnsi="Times New Roman" w:cs="Times New Roman"/>
        </w:rPr>
      </w:pPr>
    </w:p>
    <w:p>
      <w:pPr>
        <w:tabs>
          <w:tab w:val="center" w:pos="4323"/>
          <w:tab w:val="left" w:pos="7815"/>
        </w:tabs>
        <w:autoSpaceDE w:val="0"/>
        <w:autoSpaceDN w:val="0"/>
        <w:adjustRightInd w:val="0"/>
        <w:spacing w:before="100" w:beforeAutospacing="1" w:line="400" w:lineRule="exact"/>
        <w:rPr>
          <w:rFonts w:hint="default" w:ascii="Times New Roman" w:hAnsi="Times New Roman" w:eastAsia="方正黑体_GBK" w:cs="Times New Roman"/>
          <w:szCs w:val="32"/>
        </w:rPr>
      </w:pPr>
      <w:bookmarkStart w:id="4" w:name="_GoBack"/>
      <w:bookmarkEnd w:id="4"/>
    </w:p>
    <w:p>
      <w:pPr>
        <w:spacing w:line="594" w:lineRule="exact"/>
        <w:ind w:left="2560" w:hanging="2560" w:hangingChars="800"/>
        <w:rPr>
          <w:rFonts w:hint="default" w:ascii="Times New Roman" w:hAnsi="Times New Roman" w:eastAsia="方正仿宋_GBK" w:cs="Times New Roman"/>
          <w:szCs w:val="32"/>
        </w:rPr>
      </w:pPr>
    </w:p>
    <w:p>
      <w:pPr>
        <w:rPr>
          <w:rFonts w:hint="default" w:ascii="Times New Roman" w:hAnsi="Times New Roman" w:cs="Times New Roman"/>
        </w:rPr>
      </w:pPr>
    </w:p>
    <w:p>
      <w:pPr>
        <w:pStyle w:val="2"/>
        <w:rPr>
          <w:rFonts w:hint="default"/>
        </w:rPr>
      </w:pPr>
    </w:p>
    <w:p>
      <w:pPr>
        <w:pStyle w:val="2"/>
        <w:rPr>
          <w:rFonts w:hint="default"/>
        </w:rPr>
      </w:pPr>
    </w:p>
    <w:p>
      <w:pPr>
        <w:rPr>
          <w:rFonts w:hint="default"/>
        </w:rPr>
      </w:pPr>
    </w:p>
    <w:p>
      <w:pPr>
        <w:spacing w:line="360" w:lineRule="exact"/>
        <w:rPr>
          <w:rFonts w:hint="default" w:ascii="Times New Roman" w:hAnsi="Times New Roman" w:eastAsia="仿宋_GB2312" w:cs="Times New Roman"/>
          <w:b/>
          <w:bCs/>
          <w:color w:val="000000"/>
          <w:sz w:val="32"/>
          <w:szCs w:val="32"/>
        </w:rPr>
      </w:pPr>
      <w:bookmarkStart w:id="3" w:name="_Hlk90652096"/>
      <w:r>
        <w:rPr>
          <w:rFonts w:hint="default" w:ascii="Times New Roman" w:hAnsi="Times New Roman" w:eastAsia="仿宋_GB2312" w:cs="Times New Roman"/>
          <w:b/>
          <w:bCs/>
          <w:color w:val="000000"/>
          <w:sz w:val="32"/>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0" w:firstLineChars="100"/>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color w:val="000000"/>
          <w:kern w:val="0"/>
          <w:sz w:val="28"/>
          <w:szCs w:val="28"/>
        </w:rPr>
        <w:t xml:space="preserve">重庆文化艺术职业学院党政办公室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val="en-US" w:eastAsia="zh-CN"/>
        </w:rPr>
        <w:t>2024</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lang w:val="en-US" w:eastAsia="zh-CN"/>
        </w:rPr>
        <w:t>2</w:t>
      </w:r>
      <w:r>
        <w:rPr>
          <w:rFonts w:hint="default" w:ascii="Times New Roman" w:hAnsi="Times New Roman" w:eastAsia="方正仿宋_GBK" w:cs="Times New Roman"/>
          <w:color w:val="000000"/>
          <w:kern w:val="0"/>
          <w:sz w:val="28"/>
          <w:szCs w:val="28"/>
        </w:rPr>
        <w:t xml:space="preserve">日印发  </w:t>
      </w:r>
    </w:p>
    <w:p>
      <w:pPr>
        <w:spacing w:line="360" w:lineRule="exact"/>
        <w:jc w:val="left"/>
        <w:rPr>
          <w:rFonts w:hint="default" w:ascii="Times New Roman" w:hAnsi="Times New Roman" w:cs="Times New Roman"/>
        </w:rPr>
      </w:pPr>
      <w:r>
        <w:rPr>
          <w:rFonts w:hint="default" w:ascii="Times New Roman" w:hAnsi="Times New Roman" w:eastAsia="仿宋_GB2312" w:cs="Times New Roman"/>
          <w:b/>
          <w:bCs/>
          <w:color w:val="000000"/>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3"/>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E32585"/>
    <w:multiLevelType w:val="singleLevel"/>
    <w:tmpl w:val="5EE3258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TdkN2RkMGU4YjQzNDE5ODIwZDBiOTdmMGRkOGYifQ=="/>
  </w:docVars>
  <w:rsids>
    <w:rsidRoot w:val="00CB0E4E"/>
    <w:rsid w:val="002B61A2"/>
    <w:rsid w:val="00375B43"/>
    <w:rsid w:val="00471070"/>
    <w:rsid w:val="00527A0E"/>
    <w:rsid w:val="007E16AD"/>
    <w:rsid w:val="007F2D8F"/>
    <w:rsid w:val="00844878"/>
    <w:rsid w:val="008C4809"/>
    <w:rsid w:val="00A05D22"/>
    <w:rsid w:val="00B80378"/>
    <w:rsid w:val="00B942A6"/>
    <w:rsid w:val="00CB0E4E"/>
    <w:rsid w:val="00D80A90"/>
    <w:rsid w:val="034F0836"/>
    <w:rsid w:val="036915D5"/>
    <w:rsid w:val="08BD33F4"/>
    <w:rsid w:val="12896CDE"/>
    <w:rsid w:val="18E77B9C"/>
    <w:rsid w:val="1FBF7DDB"/>
    <w:rsid w:val="24B946A3"/>
    <w:rsid w:val="328F7909"/>
    <w:rsid w:val="3B224EB1"/>
    <w:rsid w:val="44E40130"/>
    <w:rsid w:val="4BCB0EB7"/>
    <w:rsid w:val="59972233"/>
    <w:rsid w:val="63AF0C6F"/>
    <w:rsid w:val="668B2A77"/>
    <w:rsid w:val="7998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28"/>
    </w:rPr>
  </w:style>
  <w:style w:type="paragraph" w:styleId="3">
    <w:name w:val="Normal Indent"/>
    <w:basedOn w:val="1"/>
    <w:qFormat/>
    <w:uiPriority w:val="0"/>
    <w:pPr>
      <w:ind w:firstLine="420" w:firstLineChars="200"/>
    </w:pPr>
    <w:rPr>
      <w:sz w:val="21"/>
      <w:szCs w:val="22"/>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next w:val="1"/>
    <w:autoRedefine/>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883</Words>
  <Characters>5034</Characters>
  <Lines>41</Lines>
  <Paragraphs>11</Paragraphs>
  <TotalTime>10</TotalTime>
  <ScaleCrop>false</ScaleCrop>
  <LinksUpToDate>false</LinksUpToDate>
  <CharactersWithSpaces>5906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2024-03-29T03:03:00Z</dcterms:created>
  <dc:creator>administered</dc:creator>
  <cp:lastModifiedBy>余婷婷</cp:lastModifiedBy>
  <cp:lastPrinted>2024-04-02T08:44:04Z</cp:lastPrinted>
  <dcterms:modified xsi:type="dcterms:W3CDTF">2024-04-02T08:49:41Z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849026B437124CD19DE3F2D56FD92483_13</vt:lpwstr>
  </property>
</Properties>
</file>