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5" w:beforeLines="100" w:line="2000" w:lineRule="exact"/>
        <w:ind w:right="-1462" w:rightChars="-457" w:firstLine="138" w:firstLineChars="19"/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</w:pPr>
      <w:bookmarkStart w:id="1" w:name="_GoBack"/>
      <w:bookmarkEnd w:id="1"/>
      <w:r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  <w:t>重庆文化艺术职业学院文件</w:t>
      </w:r>
    </w:p>
    <w:p>
      <w:pPr>
        <w:spacing w:line="640" w:lineRule="exact"/>
        <w:rPr>
          <w:rFonts w:ascii="方正仿宋_GBK" w:hAnsi="方正仿宋_GBK" w:eastAsia="方正仿宋_GBK"/>
          <w:szCs w:val="32"/>
        </w:rPr>
      </w:pPr>
    </w:p>
    <w:p>
      <w:pPr>
        <w:pBdr>
          <w:bottom w:val="single" w:color="FF0000" w:sz="24" w:space="1"/>
        </w:pBdr>
        <w:spacing w:line="580" w:lineRule="exact"/>
        <w:ind w:firstLine="2560" w:firstLineChars="800"/>
        <w:rPr>
          <w:rFonts w:eastAsia="方正仿宋_GBK"/>
          <w:szCs w:val="32"/>
        </w:rPr>
      </w:pPr>
      <w:bookmarkStart w:id="0" w:name="doc_mark"/>
      <w:bookmarkEnd w:id="0"/>
      <w:r>
        <w:rPr>
          <w:rFonts w:eastAsia="方正仿宋_GBK"/>
          <w:szCs w:val="32"/>
        </w:rPr>
        <w:t>重艺院发〔2021〕</w:t>
      </w:r>
      <w:r>
        <w:rPr>
          <w:rFonts w:hint="eastAsia" w:eastAsia="方正仿宋_GBK"/>
          <w:szCs w:val="32"/>
        </w:rPr>
        <w:t>221</w:t>
      </w:r>
      <w:r>
        <w:rPr>
          <w:rFonts w:eastAsia="方正仿宋_GBK"/>
          <w:szCs w:val="32"/>
        </w:rPr>
        <w:t>号</w:t>
      </w:r>
    </w:p>
    <w:p>
      <w:pPr>
        <w:ind w:firstLine="880" w:firstLineChars="200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重庆文化艺术职业学院剧场使用收费表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127"/>
        <w:gridCol w:w="1245"/>
        <w:gridCol w:w="1501"/>
        <w:gridCol w:w="150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黑体_GBK" w:eastAsia="方正黑体_GBK" w:cstheme="minorBidi"/>
                <w:szCs w:val="32"/>
              </w:rPr>
            </w:pPr>
            <w:r>
              <w:rPr>
                <w:rStyle w:val="9"/>
                <w:rFonts w:hint="eastAsia" w:ascii="方正黑体_GBK" w:hAnsi="方正仿宋_GBK" w:eastAsia="方正黑体_GBK" w:cstheme="minorBidi"/>
                <w:i w:val="0"/>
                <w:color w:val="505050"/>
                <w:szCs w:val="32"/>
              </w:rPr>
              <w:t>序号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黑体_GBK" w:eastAsia="方正黑体_GBK" w:cstheme="minorBidi"/>
                <w:szCs w:val="32"/>
              </w:rPr>
            </w:pPr>
            <w:r>
              <w:rPr>
                <w:rStyle w:val="9"/>
                <w:rFonts w:hint="eastAsia" w:ascii="方正黑体_GBK" w:hAnsi="方正仿宋_GBK" w:eastAsia="方正黑体_GBK" w:cstheme="minorBidi"/>
                <w:i w:val="0"/>
                <w:color w:val="505050"/>
                <w:szCs w:val="32"/>
              </w:rPr>
              <w:t>设备名称</w:t>
            </w:r>
          </w:p>
        </w:tc>
        <w:tc>
          <w:tcPr>
            <w:tcW w:w="1245" w:type="dxa"/>
          </w:tcPr>
          <w:p>
            <w:pPr>
              <w:ind w:firstLine="320" w:firstLineChars="100"/>
              <w:jc w:val="center"/>
              <w:rPr>
                <w:rFonts w:ascii="方正黑体_GBK" w:eastAsia="方正黑体_GBK" w:cstheme="minorBidi"/>
                <w:szCs w:val="32"/>
              </w:rPr>
            </w:pPr>
            <w:r>
              <w:rPr>
                <w:rStyle w:val="9"/>
                <w:rFonts w:hint="eastAsia" w:ascii="方正黑体_GBK" w:hAnsi="方正仿宋_GBK" w:eastAsia="方正黑体_GBK" w:cstheme="minorBidi"/>
                <w:i w:val="0"/>
                <w:color w:val="505050"/>
                <w:szCs w:val="32"/>
              </w:rPr>
              <w:t>单位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黑体_GBK" w:eastAsia="方正黑体_GBK" w:cstheme="minorBidi"/>
                <w:szCs w:val="32"/>
              </w:rPr>
            </w:pPr>
            <w:r>
              <w:rPr>
                <w:rFonts w:hint="eastAsia" w:ascii="方正黑体_GBK" w:eastAsia="方正黑体_GBK" w:cstheme="minorBidi"/>
                <w:szCs w:val="32"/>
              </w:rPr>
              <w:t>数量</w:t>
            </w:r>
          </w:p>
        </w:tc>
        <w:tc>
          <w:tcPr>
            <w:tcW w:w="1501" w:type="dxa"/>
          </w:tcPr>
          <w:p>
            <w:pPr>
              <w:jc w:val="center"/>
              <w:rPr>
                <w:rStyle w:val="9"/>
                <w:rFonts w:ascii="方正黑体_GBK" w:hAnsi="方正仿宋_GBK" w:eastAsia="方正黑体_GBK" w:cstheme="minorBidi"/>
                <w:i w:val="0"/>
                <w:color w:val="505050"/>
                <w:szCs w:val="32"/>
              </w:rPr>
            </w:pPr>
            <w:r>
              <w:rPr>
                <w:rFonts w:hint="eastAsia" w:ascii="方正黑体_GBK" w:eastAsia="方正黑体_GBK" w:cstheme="minorBidi"/>
                <w:szCs w:val="32"/>
              </w:rPr>
              <w:t>小计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黑体_GBK" w:eastAsia="方正黑体_GBK" w:cstheme="minorBidi"/>
                <w:szCs w:val="32"/>
              </w:rPr>
            </w:pPr>
            <w:r>
              <w:rPr>
                <w:rFonts w:hint="eastAsia" w:ascii="方正黑体_GBK" w:eastAsia="方正黑体_GBK" w:cstheme="minorBidi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一</w:t>
            </w:r>
          </w:p>
        </w:tc>
        <w:tc>
          <w:tcPr>
            <w:tcW w:w="7875" w:type="dxa"/>
            <w:gridSpan w:val="5"/>
          </w:tcPr>
          <w:p>
            <w:pPr>
              <w:jc w:val="left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部门基本使用费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（一）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中剧场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2164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场地使用费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次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2000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2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设备能耗费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309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164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（1）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Style w:val="9"/>
                <w:rFonts w:hint="eastAsia" w:ascii="方正仿宋_GBK" w:eastAsia="方正仿宋_GBK" w:cstheme="minorBidi"/>
                <w:i w:val="0"/>
                <w:color w:val="505050"/>
                <w:szCs w:val="32"/>
              </w:rPr>
              <w:t>LED背景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千瓦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84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（2）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Style w:val="9"/>
                <w:rFonts w:hint="eastAsia" w:ascii="方正仿宋_GBK" w:eastAsia="方正仿宋_GBK" w:cstheme="minorBidi"/>
                <w:i w:val="0"/>
                <w:color w:val="505050"/>
                <w:szCs w:val="32"/>
              </w:rPr>
              <w:t>中央空调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千瓦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135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（3）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Style w:val="9"/>
                <w:rFonts w:hint="eastAsia" w:ascii="方正仿宋_GBK" w:eastAsia="方正仿宋_GBK" w:cstheme="minorBidi"/>
                <w:i w:val="0"/>
                <w:color w:val="505050"/>
                <w:szCs w:val="32"/>
              </w:rPr>
              <w:t>音响系统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千瓦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20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（4）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Style w:val="9"/>
                <w:rFonts w:hint="eastAsia" w:ascii="方正仿宋_GBK" w:eastAsia="方正仿宋_GBK" w:cstheme="minorBidi"/>
                <w:i w:val="0"/>
                <w:color w:val="505050"/>
                <w:szCs w:val="32"/>
              </w:rPr>
              <w:t>舞台灯光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千瓦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70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（5）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Style w:val="9"/>
                <w:rFonts w:hint="eastAsia" w:ascii="方正仿宋_GBK" w:eastAsia="方正仿宋_GBK" w:cstheme="minorBidi"/>
                <w:i w:val="0"/>
                <w:color w:val="505050"/>
                <w:szCs w:val="32"/>
              </w:rPr>
              <w:t>普通照明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千瓦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30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（二）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小剧场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场地使用费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次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1000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2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设备能耗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千瓦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206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109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（1）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Style w:val="9"/>
                <w:rFonts w:hint="eastAsia" w:ascii="方正仿宋_GBK" w:eastAsia="方正仿宋_GBK" w:cstheme="minorBidi"/>
                <w:i w:val="0"/>
                <w:color w:val="505050"/>
                <w:szCs w:val="32"/>
              </w:rPr>
              <w:t>LED背景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千瓦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53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（2）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中央空调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千瓦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65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（3）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音响系统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千瓦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10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（4）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舞台灯光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千瓦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60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（5）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普通照明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千瓦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18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二</w:t>
            </w:r>
          </w:p>
        </w:tc>
        <w:tc>
          <w:tcPr>
            <w:tcW w:w="7875" w:type="dxa"/>
            <w:gridSpan w:val="5"/>
          </w:tcPr>
          <w:p>
            <w:pPr>
              <w:jc w:val="left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外来单位使用管理费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（一）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中剧场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天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10000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9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（二）</w:t>
            </w:r>
          </w:p>
        </w:tc>
        <w:tc>
          <w:tcPr>
            <w:tcW w:w="2127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小剧场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天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1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  <w:r>
              <w:rPr>
                <w:rFonts w:hint="eastAsia" w:ascii="方正仿宋_GBK" w:eastAsia="方正仿宋_GBK" w:cstheme="minorBidi"/>
                <w:szCs w:val="32"/>
              </w:rPr>
              <w:t>6000</w:t>
            </w:r>
          </w:p>
        </w:tc>
        <w:tc>
          <w:tcPr>
            <w:tcW w:w="1501" w:type="dxa"/>
          </w:tcPr>
          <w:p>
            <w:pPr>
              <w:jc w:val="center"/>
              <w:rPr>
                <w:rFonts w:ascii="方正仿宋_GBK" w:eastAsia="方正仿宋_GBK" w:cstheme="minorBidi"/>
                <w:szCs w:val="32"/>
              </w:rPr>
            </w:pPr>
          </w:p>
        </w:tc>
      </w:tr>
    </w:tbl>
    <w:p>
      <w:pPr>
        <w:spacing w:line="300" w:lineRule="exact"/>
        <w:jc w:val="left"/>
        <w:rPr>
          <w:rFonts w:hint="eastAsia" w:ascii="方正仿宋_GBK" w:eastAsia="方正仿宋_GBK"/>
        </w:rPr>
      </w:pPr>
    </w:p>
    <w:p>
      <w:pPr>
        <w:spacing w:line="300" w:lineRule="exact"/>
        <w:jc w:val="left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备注：外来单位使用</w:t>
      </w:r>
      <w:r>
        <w:rPr>
          <w:rFonts w:hint="eastAsia" w:ascii="方正仿宋_GBK" w:eastAsia="方正仿宋_GBK"/>
          <w:szCs w:val="32"/>
        </w:rPr>
        <w:t>剧场</w:t>
      </w:r>
      <w:r>
        <w:rPr>
          <w:rFonts w:hint="eastAsia" w:ascii="方正仿宋_GBK" w:eastAsia="方正仿宋_GBK"/>
        </w:rPr>
        <w:t>时间不足2小时按0</w:t>
      </w:r>
      <w:r>
        <w:rPr>
          <w:rFonts w:ascii="方正仿宋_GBK" w:eastAsia="方正仿宋_GBK"/>
        </w:rPr>
        <w:t>.5</w:t>
      </w:r>
      <w:r>
        <w:rPr>
          <w:rFonts w:hint="eastAsia" w:ascii="方正仿宋_GBK" w:eastAsia="方正仿宋_GBK"/>
        </w:rPr>
        <w:t>天计算，使用时</w:t>
      </w:r>
    </w:p>
    <w:p>
      <w:pPr>
        <w:spacing w:line="300" w:lineRule="exact"/>
        <w:jc w:val="left"/>
        <w:rPr>
          <w:rFonts w:hint="eastAsia" w:ascii="方正仿宋_GBK" w:eastAsia="方正仿宋_GBK"/>
        </w:rPr>
      </w:pPr>
    </w:p>
    <w:p>
      <w:pPr>
        <w:spacing w:line="300" w:lineRule="exact"/>
        <w:jc w:val="left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>间超过2小时不足4小时按1天计算，以此类推。</w:t>
      </w:r>
    </w:p>
    <w:p>
      <w:pPr>
        <w:spacing w:line="300" w:lineRule="exact"/>
        <w:jc w:val="left"/>
        <w:rPr>
          <w:rFonts w:hint="eastAsia" w:ascii="方正仿宋_GBK" w:eastAsia="方正仿宋_GBK"/>
        </w:rPr>
      </w:pPr>
    </w:p>
    <w:p>
      <w:pPr>
        <w:spacing w:line="360" w:lineRule="exact"/>
        <w:rPr>
          <w:rFonts w:hint="eastAsia" w:ascii="仿宋_GB2312" w:eastAsia="仿宋_GB2312"/>
          <w:b/>
          <w:bCs/>
          <w:color w:val="000000"/>
          <w:szCs w:val="32"/>
        </w:rPr>
      </w:pPr>
      <w:r>
        <w:rPr>
          <w:rFonts w:hint="eastAsia" w:ascii="仿宋_GB2312" w:eastAsia="仿宋_GB2312"/>
          <w:b/>
          <w:bCs/>
          <w:color w:val="000000"/>
          <w:szCs w:val="32"/>
        </w:rPr>
        <w:pict>
          <v:rect id="_x0000_i1025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60" w:lineRule="exact"/>
        <w:ind w:firstLine="280" w:firstLineChars="100"/>
        <w:rPr>
          <w:rFonts w:hint="eastAsia" w:ascii="方正仿宋_GBK" w:eastAsia="方正仿宋_GBK"/>
          <w:bCs/>
          <w:color w:val="000000"/>
          <w:sz w:val="28"/>
          <w:szCs w:val="28"/>
        </w:rPr>
      </w:pPr>
      <w:r>
        <w:rPr>
          <w:rFonts w:hint="eastAsia" w:ascii="方正仿宋_GBK" w:eastAsia="方正仿宋_GBK" w:cs="宋体"/>
          <w:color w:val="000000"/>
          <w:kern w:val="0"/>
          <w:sz w:val="28"/>
          <w:szCs w:val="28"/>
        </w:rPr>
        <w:t xml:space="preserve">重庆文化艺术职业学院党政办公室          </w:t>
      </w:r>
      <w:r>
        <w:rPr>
          <w:rFonts w:ascii="方正仿宋_GBK" w:eastAsia="方正仿宋_GBK" w:cs="宋体"/>
          <w:color w:val="000000"/>
          <w:kern w:val="0"/>
          <w:sz w:val="28"/>
          <w:szCs w:val="28"/>
        </w:rPr>
        <w:t>2021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年</w:t>
      </w:r>
      <w:r>
        <w:rPr>
          <w:rFonts w:ascii="方正仿宋_GBK" w:eastAsia="方正仿宋_GBK"/>
          <w:bCs/>
          <w:color w:val="000000"/>
          <w:sz w:val="28"/>
          <w:szCs w:val="28"/>
        </w:rPr>
        <w:t>10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月</w:t>
      </w:r>
      <w:r>
        <w:rPr>
          <w:rFonts w:ascii="方正仿宋_GBK" w:eastAsia="方正仿宋_GBK"/>
          <w:bCs/>
          <w:color w:val="000000"/>
          <w:sz w:val="28"/>
          <w:szCs w:val="28"/>
        </w:rPr>
        <w:t>20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 xml:space="preserve">日印发  </w:t>
      </w:r>
    </w:p>
    <w:p>
      <w:pPr>
        <w:spacing w:line="360" w:lineRule="exact"/>
        <w:rPr>
          <w:rFonts w:hint="eastAsia" w:ascii="仿宋_GB2312" w:eastAsia="仿宋_GB2312"/>
          <w:b/>
          <w:bCs/>
          <w:color w:val="000000"/>
          <w:sz w:val="30"/>
        </w:rPr>
      </w:pPr>
      <w:r>
        <w:rPr>
          <w:rFonts w:hint="eastAsia" w:ascii="仿宋_GB2312" w:eastAsia="仿宋_GB2312"/>
          <w:b/>
          <w:bCs/>
          <w:color w:val="000000"/>
          <w:sz w:val="30"/>
        </w:rPr>
        <w:pict>
          <v:rect id="_x0000_i1026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594" w:lineRule="exact"/>
        <w:jc w:val="left"/>
        <w:textAlignment w:val="baseline"/>
        <w:rPr>
          <w:rStyle w:val="9"/>
          <w:rFonts w:ascii="方正仿宋_GBK" w:eastAsia="方正仿宋_GBK"/>
          <w:b/>
          <w:i w:val="0"/>
          <w:color w:val="505050"/>
          <w:sz w:val="28"/>
          <w:szCs w:val="28"/>
        </w:rPr>
      </w:pPr>
    </w:p>
    <w:sectPr>
      <w:pgSz w:w="11906" w:h="16838"/>
      <w:pgMar w:top="1985" w:right="1446" w:bottom="1644" w:left="1446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drawingGridHorizontalSpacing w:val="1805"/>
  <w:drawingGridVerticalSpacing w:val="435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2"/>
  </w:compat>
  <w:docVars>
    <w:docVar w:name="commondata" w:val="eyJoZGlkIjoiMTE0MzU4NTJjZmYwNTliYmI4ZjlmNmQ3NWEzODJmYmMifQ=="/>
  </w:docVars>
  <w:rsids>
    <w:rsidRoot w:val="00F52E42"/>
    <w:rsid w:val="002745D4"/>
    <w:rsid w:val="00293FB4"/>
    <w:rsid w:val="002B3B84"/>
    <w:rsid w:val="00435048"/>
    <w:rsid w:val="00622BA4"/>
    <w:rsid w:val="006F1599"/>
    <w:rsid w:val="00813DC9"/>
    <w:rsid w:val="00997DBC"/>
    <w:rsid w:val="00AA6B2B"/>
    <w:rsid w:val="00AD642B"/>
    <w:rsid w:val="00C916E6"/>
    <w:rsid w:val="00CB3887"/>
    <w:rsid w:val="00E1482C"/>
    <w:rsid w:val="00F52E42"/>
    <w:rsid w:val="14BD670D"/>
    <w:rsid w:val="28A919EA"/>
    <w:rsid w:val="2EE86355"/>
    <w:rsid w:val="32713CC2"/>
    <w:rsid w:val="329E7F7C"/>
    <w:rsid w:val="45394534"/>
    <w:rsid w:val="52733463"/>
    <w:rsid w:val="63C12C25"/>
    <w:rsid w:val="67044274"/>
    <w:rsid w:val="71DC3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eastAsia="方正小标宋_GBK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明显强调2"/>
    <w:basedOn w:val="7"/>
    <w:qFormat/>
    <w:uiPriority w:val="0"/>
    <w:rPr>
      <w:i/>
      <w:color w:val="2E75B5"/>
    </w:rPr>
  </w:style>
  <w:style w:type="paragraph" w:customStyle="1" w:styleId="10">
    <w:name w:val="表格内容"/>
    <w:basedOn w:val="1"/>
    <w:qFormat/>
    <w:uiPriority w:val="0"/>
    <w:pPr>
      <w:suppressLineNumbers/>
    </w:pPr>
  </w:style>
  <w:style w:type="paragraph" w:customStyle="1" w:styleId="11">
    <w:name w:val="标题 21"/>
    <w:basedOn w:val="12"/>
    <w:next w:val="12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alibri Light" w:hAnsi="Calibri Light" w:eastAsia="方正小标宋_GBK"/>
      <w:b/>
      <w:bCs/>
      <w:sz w:val="32"/>
      <w:szCs w:val="32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A38E-6837-43FC-874D-8DC4DD78BC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306</Words>
  <Characters>357</Characters>
  <Lines>37</Lines>
  <Paragraphs>10</Paragraphs>
  <TotalTime>299</TotalTime>
  <ScaleCrop>false</ScaleCrop>
  <LinksUpToDate>false</LinksUpToDate>
  <CharactersWithSpaces>369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2021-10-08T05:52:00Z</dcterms:created>
  <dc:creator>陈臣</dc:creator>
  <cp:lastModifiedBy>小年</cp:lastModifiedBy>
  <cp:lastPrinted>2021-08-24T08:34:00Z</cp:lastPrinted>
  <dcterms:modified xsi:type="dcterms:W3CDTF">2023-07-07T09:14:08Z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680317F54CD5423E8817F102C91BFA65</vt:lpwstr>
  </property>
  <property fmtid="{D5CDD505-2E9C-101B-9397-08002B2CF9AE}" pid="3" name="KSOProductBuildVer">
    <vt:lpwstr>2052-11.1.0.14309</vt:lpwstr>
  </property>
  <property fmtid="{D5CDD505-2E9C-101B-9397-08002B2CF9AE}" pid="4" name="KSOSaveFontToCloudKey">
    <vt:lpwstr>299710764_btnclosed</vt:lpwstr>
  </property>
</Properties>
</file>